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Сообщение о существенном факте 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«</w:t>
      </w:r>
      <w:r>
        <w:rPr>
          <w:b/>
          <w:sz w:val="22"/>
          <w:szCs w:val="22"/>
        </w:rPr>
        <w:t>О проведении заседания совета директоров эмитента и его повестке дня</w:t>
      </w:r>
      <w:r>
        <w:rPr>
          <w:b/>
          <w:bCs/>
          <w:sz w:val="22"/>
          <w:szCs w:val="22"/>
        </w:rPr>
        <w:t>»</w:t>
      </w:r>
    </w:p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661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4848"/>
        <w:gridCol w:w="5812"/>
      </w:tblGrid>
      <w:tr>
        <w:trPr/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Cs/>
                <w:szCs w:val="22"/>
              </w:rPr>
            </w:pPr>
            <w:r>
              <w:rPr>
                <w:szCs w:val="22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196605, г. Санкт-Петербург, вн.тер.г. поселок Шушары, ш Петербургское, д. 66, к. 1, литера А, этаж 7, помещ. 36-Н, каб. 701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1052600002180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2607018122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65105-D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Cs w:val="22"/>
              </w:rPr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57"/>
              <w:rPr>
                <w:b/>
                <w:bCs/>
              </w:rPr>
            </w:pPr>
            <w:hyperlink r:id="rId2" w:tgtFrame="https://www.ogk2.ru/">
              <w:r>
                <w:rPr>
                  <w:rStyle w:val="Hyperlink"/>
                  <w:rFonts w:eastAsia="Times New Roman" w:cs="Times New Roman"/>
                  <w:b/>
                  <w:bCs/>
                  <w:color w:val="auto"/>
                  <w:sz w:val="20"/>
                  <w:szCs w:val="22"/>
                  <w:lang w:val="ru-RU" w:bidi="ar-SA"/>
                </w:rPr>
                <w:t>https://www.ogk2.ru</w:t>
              </w:r>
            </w:hyperlink>
          </w:p>
          <w:p>
            <w:pPr>
              <w:pStyle w:val="Normal"/>
              <w:ind w:right="85"/>
              <w:rPr>
                <w:b/>
                <w:bCs/>
              </w:rPr>
            </w:pPr>
            <w:hyperlink r:id="rId3" w:tgtFrame="https://www.e-disclosure.ru/portal/company.aspx?id=7234">
              <w:r>
                <w:rPr>
                  <w:rStyle w:val="Hyperlink"/>
                  <w:rFonts w:eastAsia="Times New Roman" w:cs="Times New Roman"/>
                  <w:b/>
                  <w:bCs/>
                  <w:color w:val="auto"/>
                  <w:sz w:val="20"/>
                  <w:szCs w:val="22"/>
                  <w:lang w:val="ru-RU" w:bidi="ar-SA"/>
                </w:rPr>
                <w:t>https://www.e-disclosure.ru/portal/company.aspx?id=7234</w:t>
              </w:r>
            </w:hyperlink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01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.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04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661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0661"/>
      </w:tblGrid>
      <w:tr>
        <w:trPr/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2. Содержание сообщения</w:t>
            </w:r>
          </w:p>
        </w:tc>
      </w:tr>
      <w:tr>
        <w:trPr>
          <w:trHeight w:val="1484" w:hRule="atLeast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28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Д</w:t>
            </w:r>
            <w:r>
              <w:rPr>
                <w:color w:val="000000"/>
                <w:sz w:val="20"/>
                <w:szCs w:val="20"/>
              </w:rPr>
              <w:t>ата принятия Председателем совета директоров эмитента решения о проведении заседания совета директоров эмитента: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01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.0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4</w:t>
            </w:r>
            <w:r>
              <w:rPr>
                <w:b/>
                <w:sz w:val="20"/>
                <w:szCs w:val="20"/>
              </w:rPr>
              <w:t>.2024.</w:t>
            </w:r>
          </w:p>
          <w:p>
            <w:pPr>
              <w:pStyle w:val="Normal"/>
              <w:ind w:left="-28" w:right="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Дата проведения заседания совета директоров эмитента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 xml:space="preserve">: 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04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.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0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4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.2024.</w:t>
            </w:r>
          </w:p>
          <w:p>
            <w:pPr>
              <w:pStyle w:val="Normal"/>
              <w:ind w:left="-28" w:right="57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0"/>
                <w:szCs w:val="20"/>
                <w:lang w:val="ru-RU" w:bidi="ar-SA"/>
              </w:rPr>
              <w:t>2.3.  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bidi="ar-SA"/>
              </w:rPr>
              <w:t>Повестка дня заседания совета директоров эмитента:</w:t>
            </w:r>
          </w:p>
          <w:p>
            <w:pPr>
              <w:pStyle w:val="Normal"/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О </w:t>
            </w:r>
            <w:r>
              <w:rPr>
                <w:b/>
                <w:color w:val="000000"/>
                <w:sz w:val="20"/>
                <w:szCs w:val="20"/>
              </w:rPr>
              <w:t xml:space="preserve">рассмотрении предложений акционеров о внесении вопросов в повестку дня годового Общего собрания </w:t>
            </w:r>
            <w:r>
              <w:rPr>
                <w:b/>
                <w:color w:val="000000"/>
                <w:sz w:val="20"/>
                <w:szCs w:val="20"/>
              </w:rPr>
              <w:t>акционеров Общества и выдвижении кандидатов в Совет директоров Общества.</w:t>
            </w:r>
          </w:p>
          <w:p>
            <w:pPr>
              <w:pStyle w:val="Normal"/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О</w:t>
            </w:r>
            <w:r>
              <w:rPr>
                <w:b/>
                <w:color w:val="000000"/>
                <w:sz w:val="20"/>
                <w:szCs w:val="20"/>
              </w:rPr>
              <w:t>б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утверждении отчета о заключенных Обществом в 2023 году сделках, в совершении которых имелась заинтересованность.</w:t>
            </w:r>
          </w:p>
          <w:p>
            <w:pPr>
              <w:pStyle w:val="Normal"/>
              <w:autoSpaceDE w:val="true"/>
              <w:jc w:val="both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 </w:t>
            </w:r>
            <w:r>
              <w:rPr>
                <w:b/>
                <w:color w:val="000000"/>
                <w:sz w:val="20"/>
                <w:szCs w:val="20"/>
              </w:rPr>
              <w:t xml:space="preserve">акции обыкновенные, государственный регистрационный номер 1-02-65105-D от 19.04.2007,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>международный код (номер) идентификации ценных бумаг (ISIN): RU000A0JNG55, международный код классификации финансовых инструментов (CFI) ESVXFR.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632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230"/>
        <w:gridCol w:w="357"/>
        <w:gridCol w:w="384"/>
        <w:gridCol w:w="1317"/>
        <w:gridCol w:w="416"/>
        <w:gridCol w:w="307"/>
        <w:gridCol w:w="1209"/>
        <w:gridCol w:w="1338"/>
        <w:gridCol w:w="462"/>
        <w:gridCol w:w="3062"/>
        <w:gridCol w:w="549"/>
      </w:tblGrid>
      <w:tr>
        <w:trPr>
          <w:trHeight w:val="248" w:hRule="atLeast"/>
          <w:cantSplit w:val="true"/>
        </w:trPr>
        <w:tc>
          <w:tcPr>
            <w:tcW w:w="10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3. Подпись</w:t>
            </w:r>
          </w:p>
        </w:tc>
      </w:tr>
      <w:tr>
        <w:trPr>
          <w:trHeight w:val="859" w:hRule="atLeast"/>
          <w:cantSplit w:val="true"/>
        </w:trPr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b/>
                <w:szCs w:val="22"/>
              </w:rPr>
              <w:t xml:space="preserve">3.1. </w:t>
            </w:r>
            <w:r>
              <w:rPr>
                <w:rFonts w:eastAsia="Times New Roman" w:cs="Times New Roman"/>
                <w:b/>
                <w:color w:val="000000"/>
                <w:sz w:val="20"/>
              </w:rPr>
              <w:t>Заместитель управляющего директора по корпоративным и правовым вопросам, действующий на основании доверенности № 77/299-н/77-2022-1-1027 от 25.03.2022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3062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Cs w:val="22"/>
              </w:rPr>
              <w:t>М.А. Чалый</w:t>
            </w:r>
          </w:p>
        </w:tc>
        <w:tc>
          <w:tcPr>
            <w:tcW w:w="549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80" w:hRule="exact"/>
          <w:cantSplit w:val="true"/>
        </w:trPr>
        <w:tc>
          <w:tcPr>
            <w:tcW w:w="5220" w:type="dxa"/>
            <w:gridSpan w:val="7"/>
            <w:tcBorders>
              <w:left w:val="single" w:sz="4" w:space="0" w:color="000000"/>
            </w:tcBorders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00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06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3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3.2. Дата      “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84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”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апреля</w:t>
            </w:r>
          </w:p>
        </w:tc>
        <w:tc>
          <w:tcPr>
            <w:tcW w:w="416" w:type="dxa"/>
            <w:tcBorders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</w:t>
            </w:r>
          </w:p>
        </w:tc>
        <w:tc>
          <w:tcPr>
            <w:tcW w:w="30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209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г.</w:t>
            </w:r>
          </w:p>
        </w:tc>
        <w:tc>
          <w:tcPr>
            <w:tcW w:w="1338" w:type="dxa"/>
            <w:tcBorders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73" w:type="dxa"/>
            <w:gridSpan w:val="3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22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sectPr>
      <w:headerReference w:type="default" r:id="rId4"/>
      <w:headerReference w:type="first" r:id="rId5"/>
      <w:type w:val="nextPage"/>
      <w:pgSz w:w="11906" w:h="16838"/>
      <w:pgMar w:left="851" w:right="567" w:gutter="0" w:header="284" w:top="341" w:footer="0" w:bottom="142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109220" distR="109220" simplePos="0" locked="0" layoutInCell="0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8740" cy="20320"/>
              <wp:effectExtent l="5080" t="5080" r="5080" b="5080"/>
              <wp:wrapSquare wrapText="bothSides"/>
              <wp:docPr id="1" name="_x005F_x0000_s10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2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_x005F_x0000_s1025" path="m0,0l-2147483645,0l-2147483645,-2147483646l0,-2147483646xe" fillcolor="white" stroked="t" o:allowincell="f" style="position:absolute;margin-left:0pt;margin-top:0.05pt;width:6.15pt;height:1.55pt;mso-wrap-style:none;v-text-anchor:middle">
              <v:fill o:detectmouseclick="t" type="solid" color2="black"/>
              <v:stroke color="black" weight="9360" joinstyle="round" endcap="flat"/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Micro Hei" w:cs="Lohit Devanaga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WW8Num3z0">
    <w:name w:val="WW8Num3z0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/>
  </w:style>
  <w:style w:type="character" w:styleId="WW8Num7z1">
    <w:name w:val="WW8Num7z1"/>
    <w:qFormat/>
    <w:rPr>
      <w:b w:val="false"/>
    </w:rPr>
  </w:style>
  <w:style w:type="character" w:styleId="WW8Num8z0">
    <w:name w:val="WW8Num8z0"/>
    <w:qFormat/>
    <w:rPr/>
  </w:style>
  <w:style w:type="character" w:styleId="WW8Num11z0">
    <w:name w:val="WW8Num11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b w:val="false"/>
    </w:rPr>
  </w:style>
  <w:style w:type="character" w:styleId="WW8Num17z2">
    <w:name w:val="WW8Num17z2"/>
    <w:qFormat/>
    <w:rPr/>
  </w:style>
  <w:style w:type="character" w:styleId="WW8Num18z0">
    <w:name w:val="WW8Num18z0"/>
    <w:qFormat/>
    <w:rPr>
      <w:color w:val="000000"/>
    </w:rPr>
  </w:style>
  <w:style w:type="character" w:styleId="WW8Num20z0">
    <w:name w:val="WW8Num20z0"/>
    <w:qFormat/>
    <w:rPr/>
  </w:style>
  <w:style w:type="character" w:styleId="WW8Num23z0">
    <w:name w:val="WW8Num23z0"/>
    <w:qFormat/>
    <w:rPr>
      <w:b w:val="false"/>
    </w:rPr>
  </w:style>
  <w:style w:type="character" w:styleId="WW8Num23z1">
    <w:name w:val="WW8Num23z1"/>
    <w:qFormat/>
    <w:rPr>
      <w:b w:val="false"/>
      <w:sz w:val="26"/>
      <w:szCs w:val="26"/>
    </w:rPr>
  </w:style>
  <w:style w:type="character" w:styleId="WW8Num23z2">
    <w:name w:val="WW8Num23z2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>
      <w:b w:val="false"/>
    </w:rPr>
  </w:style>
  <w:style w:type="character" w:styleId="WW8Num26z0">
    <w:name w:val="WW8Num26z0"/>
    <w:qFormat/>
    <w:rPr/>
  </w:style>
  <w:style w:type="character" w:styleId="WW8Num27z0">
    <w:name w:val="WW8Num27z0"/>
    <w:qFormat/>
    <w:rPr>
      <w:color w:val="000000"/>
    </w:rPr>
  </w:style>
  <w:style w:type="character" w:styleId="Style7">
    <w:name w:val="Основной шрифт абзаца"/>
    <w:qFormat/>
    <w:rPr/>
  </w:style>
  <w:style w:type="character" w:styleId="PageNumber">
    <w:name w:val="Page Number"/>
    <w:basedOn w:val="Style7"/>
    <w:rPr/>
  </w:style>
  <w:style w:type="character" w:styleId="Hyperlink">
    <w:name w:val="Hyperlink"/>
    <w:rPr>
      <w:color w:val="0000FF"/>
      <w:u w:val="single"/>
    </w:rPr>
  </w:style>
  <w:style w:type="character" w:styleId="2">
    <w:name w:val="Основной текст с отступом 2 Знак"/>
    <w:qFormat/>
    <w:rPr>
      <w:sz w:val="28"/>
      <w:szCs w:val="24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Style8">
    <w:name w:val="Обычный (веб) Знак"/>
    <w:qFormat/>
    <w:rPr>
      <w:rFonts w:eastAsia="Calibri"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character" w:styleId="Style12ptBoldItalic">
    <w:name w:val="Style 12 pt Bold Italic"/>
    <w:qFormat/>
    <w:rPr>
      <w:rFonts w:ascii="Times New Roman" w:hAnsi="Times New Roman" w:cs="Times New Roman"/>
      <w:b/>
      <w:bCs/>
      <w:i/>
      <w:iCs/>
      <w:sz w:val="22"/>
    </w:rPr>
  </w:style>
  <w:style w:type="character" w:styleId="FollowedHyperlink">
    <w:name w:val="FollowedHyperlink"/>
    <w:rPr>
      <w:color w:val="954F7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WenQuanYi Micro Hei" w:cs="Lohit Devanagari"/>
      <w:color w:val="auto"/>
      <w:kern w:val="0"/>
      <w:sz w:val="20"/>
      <w:szCs w:val="20"/>
      <w:lang w:val="ru-RU" w:eastAsia="zh-CN" w:bidi="hi-IN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Style1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9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WenQuanYi Micro Hei" w:cs="Lohit Devanagari"/>
      <w:color w:val="auto"/>
      <w:kern w:val="0"/>
      <w:sz w:val="20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Prilozhenie">
    <w:name w:val="prilozhenie"/>
    <w:basedOn w:val="Normal"/>
    <w:qFormat/>
    <w:pPr>
      <w:ind w:firstLine="709" w:left="0" w:right="0"/>
      <w:jc w:val="both"/>
    </w:pPr>
    <w:rPr>
      <w:sz w:val="24"/>
      <w:szCs w:val="24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firstLine="709" w:left="283" w:right="0"/>
      <w:jc w:val="both"/>
    </w:pPr>
    <w:rPr>
      <w:sz w:val="28"/>
      <w:szCs w:val="24"/>
    </w:rPr>
  </w:style>
  <w:style w:type="paragraph" w:styleId="HTML1">
    <w:name w:val="Стандартный HTML"/>
    <w:basedOn w:val="Normal"/>
    <w:qFormat/>
    <w:pPr/>
    <w:rPr>
      <w:rFonts w:ascii="Courier New" w:hAnsi="Courier New" w:cs="Courier New"/>
    </w:rPr>
  </w:style>
  <w:style w:type="paragraph" w:styleId="ConsPlusNormal">
    <w:name w:val="ConsPlus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13">
    <w:name w:val="Обычный (веб)"/>
    <w:basedOn w:val="Normal"/>
    <w:qFormat/>
    <w:pPr>
      <w:spacing w:before="280" w:after="280"/>
    </w:pPr>
    <w:rPr>
      <w:rFonts w:eastAsia="Calibri"/>
      <w:sz w:val="24"/>
      <w:szCs w:val="24"/>
      <w:lang w:val="en-GB"/>
    </w:rPr>
  </w:style>
  <w:style w:type="paragraph" w:styleId="Style14">
    <w:name w:val="Содержимое таблицы"/>
    <w:basedOn w:val="Normal"/>
    <w:qFormat/>
    <w:pPr>
      <w:widowControl w:val="false"/>
      <w:suppressLineNumbers/>
    </w:pPr>
    <w:rPr/>
  </w:style>
  <w:style w:type="paragraph" w:styleId="Style15">
    <w:name w:val="Заголовок таблицы"/>
    <w:basedOn w:val="Style14"/>
    <w:qFormat/>
    <w:pPr>
      <w:suppressLineNumbers/>
      <w:jc w:val="center"/>
    </w:pPr>
    <w:rPr>
      <w:b/>
      <w:bCs/>
    </w:rPr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668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671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  <w:tblPr/>
    </w:tblStylePr>
    <w:tblStylePr w:type="lastRow">
      <w:rPr>
        <w:b/>
        <w:caps/>
      </w:rPr>
      <w:tblPr/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</w:rPr>
      <w:tblPr/>
    </w:tblStylePr>
    <w:tblStylePr w:type="firstRow">
      <w:rPr>
        <w:b/>
      </w:rPr>
      <w:tblPr/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CE6F1" w:themeFill="accent1" w:themeFillTint="32"/>
      </w:tcPr>
    </w:tblStylePr>
    <w:tblStylePr w:type="band1Vert">
      <w:rPr>
        <w:sz w:val="22"/>
      </w:rPr>
      <w:tblPr/>
      <w:tcPr>
        <w:shd w:val="clear" w:color="FFFFFF" w:fill="DCE6F1" w:themeFill="accent1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5D8DC2" w:themeFill="accent1" w:themeFillTint="e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D9969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9BBA59" w:themeFill="accent3" w:themeFillTint="fe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DC5E0" w:themeFill="accent1" w:themeFillTint="75"/>
      </w:tcPr>
    </w:tblStylePr>
    <w:tblStylePr w:type="band1Vert">
      <w:tblPr/>
      <w:tcPr>
        <w:shd w:val="clear" w:color="FFFFFF" w:fill="ADC5E0" w:themeFill="accent1" w:themeFillTint="75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F81BD" w:themeFill="accent1"/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E1ADAC" w:themeFill="accent2" w:themeFillTint="75"/>
      </w:tcPr>
    </w:tblStylePr>
    <w:tblStylePr w:type="band1Vert">
      <w:tblPr/>
      <w:tcPr>
        <w:shd w:val="clear" w:color="FFFFFF" w:fill="E1ADAC" w:themeFill="accent2" w:themeFillTint="75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C0504D" w:themeFill="accent2"/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1DFB2" w:themeFill="accent3" w:themeFillTint="75"/>
      </w:tcPr>
    </w:tblStylePr>
    <w:tblStylePr w:type="band1Vert">
      <w:tblPr/>
      <w:tcPr>
        <w:shd w:val="clear" w:color="FFFFFF" w:fill="D1DFB2" w:themeFill="accent3" w:themeFillTint="75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9BBB59" w:themeFill="accent3"/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C4B7D4" w:themeFill="accent4" w:themeFillTint="75"/>
      </w:tcPr>
    </w:tblStylePr>
    <w:tblStylePr w:type="band1Vert">
      <w:tblPr/>
      <w:tcPr>
        <w:shd w:val="clear" w:color="FFFFFF" w:fill="C4B7D4" w:themeFill="accent4" w:themeFillTint="75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8064A2" w:themeFill="accent4"/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BD9E4" w:themeFill="accent5" w:themeFillTint="75"/>
      </w:tcPr>
    </w:tblStylePr>
    <w:tblStylePr w:type="band1Vert">
      <w:tblPr/>
      <w:tcPr>
        <w:shd w:val="clear" w:color="FFFFFF" w:fill="ABD9E4" w:themeFill="accent5" w:themeFillTint="7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BACC6" w:themeFill="accent5"/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BCDA8" w:themeFill="accent6" w:themeFillTint="75"/>
      </w:tcPr>
    </w:tblStylePr>
    <w:tblStylePr w:type="band1Vert">
      <w:tblPr/>
      <w:tcPr>
        <w:shd w:val="clear" w:color="FFFFFF" w:fill="FBCDA8" w:themeFill="accent6" w:themeFillTint="75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79646" w:themeFill="accent6"/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rPr>
        <w:b/>
        <w:color w:themeColor="text1" w:themeTint="80" w:themeShade="95"/>
      </w:rPr>
      <w:tblPr/>
    </w:tblStyle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themeColor="text1" w:themeTint="80" w:themeShade="95"/>
      </w:rPr>
      <w:tblPr/>
    </w:tblStylePr>
    <w:tblStylePr w:type="lastRow">
      <w:rPr>
        <w:b/>
        <w:color w:themeColor="text1" w:themeTint="80" w:themeShade="95"/>
      </w:rPr>
      <w:tblPr/>
    </w:tblStylePr>
    <w:tblStylePr w:type="wholeTable">
      <w:rPr>
        <w:color w:themeColor="text1" w:themeTint="80" w:themeShade="95"/>
        <w:sz w:val="22"/>
      </w:rPr>
      <w:tblPr/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rPr>
        <w:b/>
        <w:color w:themeColor="accent1" w:themeTint="80" w:themeShade="95"/>
      </w:rPr>
      <w:tblPr/>
    </w:tblStylePr>
    <w:tblStylePr w:type="firstRow">
      <w:rPr>
        <w:b/>
        <w:color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themeColor="accent1" w:themeTint="80" w:themeShade="95"/>
      </w:rPr>
      <w:tblPr/>
    </w:tblStylePr>
    <w:tblStylePr w:type="lastRow">
      <w:rPr>
        <w:b/>
        <w:color w:themeColor="accent1" w:themeTint="80" w:themeShade="95"/>
      </w:rPr>
      <w:tblPr/>
    </w:tblStylePr>
    <w:tblStylePr w:type="wholeTable">
      <w:rPr>
        <w:color w:themeColor="accent1" w:themeTint="80" w:themeShade="95"/>
        <w:sz w:val="22"/>
      </w:rPr>
      <w:tblPr/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rPr>
        <w:b/>
        <w:color w:themeColor="accent3" w:themeTint="fe" w:themeShade="95"/>
      </w:rPr>
      <w:tblPr/>
    </w:tblStylePr>
    <w:tblStylePr w:type="firstRow">
      <w:rPr>
        <w:b/>
        <w:color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themeColor="accent3" w:themeTint="fe" w:themeShade="95"/>
      </w:rPr>
      <w:tblPr/>
    </w:tblStylePr>
    <w:tblStylePr w:type="lastRow">
      <w:rPr>
        <w:b/>
        <w:color w:themeColor="accent3" w:themeTint="fe" w:themeShade="95"/>
      </w:rPr>
      <w:tblPr/>
    </w:tblStylePr>
    <w:tblStylePr w:type="wholeTable">
      <w:rPr>
        <w:color w:themeColor="accent3" w:themeTint="fe" w:themeShade="95"/>
        <w:sz w:val="22"/>
      </w:rPr>
      <w:tblPr/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themeColor="accent6" w:themeShade="95"/>
        <w:sz w:val="22"/>
      </w:rPr>
      <w:tblPr/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91CDDC" w:themeFill="accent5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9BF90" w:themeFill="accent6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4F81BD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D99694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D99694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3D69B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B2A1C6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91CDDC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91CDDC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9BF90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9BF90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/>
        <w:sz w:val="22"/>
      </w:rPr>
      <w:tblPr/>
    </w:tblStylePr>
    <w:tblStylePr w:type="firstCol">
      <w:rPr>
        <w:b/>
        <w:color w:themeColor="text1"/>
      </w:rPr>
      <w:tblPr/>
    </w:tblStyle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themeColor="text1"/>
      </w:rPr>
      <w:tblPr/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rPr>
        <w:b/>
        <w:color w:themeColor="accent1" w:themeShade="95"/>
      </w:rPr>
      <w:tblPr/>
    </w:tblStylePr>
    <w:tblStylePr w:type="firstRow">
      <w:rPr>
        <w:b/>
        <w:color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themeColor="accent1" w:themeShade="95"/>
      </w:rPr>
      <w:tblPr/>
    </w:tblStylePr>
    <w:tblStylePr w:type="lastRow">
      <w:rPr>
        <w:b/>
        <w:color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rPr>
        <w:b/>
        <w:color w:themeColor="accent3" w:themeTint="98" w:themeShade="95"/>
      </w:rPr>
      <w:tblPr/>
    </w:tblStylePr>
    <w:tblStylePr w:type="firstRow">
      <w:rPr>
        <w:b/>
        <w:color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themeColor="accent3" w:themeTint="98" w:themeShade="95"/>
      </w:rPr>
      <w:tblPr/>
    </w:tblStylePr>
    <w:tblStylePr w:type="lastRow">
      <w:rPr>
        <w:b/>
        <w:color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rPr>
        <w:b/>
        <w:color w:themeColor="accent5" w:themeTint="9a" w:themeShade="95"/>
      </w:rPr>
      <w:tblPr/>
    </w:tblStylePr>
    <w:tblStylePr w:type="firstRow">
      <w:rPr>
        <w:b/>
        <w:color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themeColor="accent5" w:themeTint="9a" w:themeShade="95"/>
      </w:rPr>
      <w:tblPr/>
    </w:tblStylePr>
    <w:tblStylePr w:type="lastRow">
      <w:rPr>
        <w:b/>
        <w:color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rPr>
        <w:b/>
        <w:color w:themeColor="accent6" w:themeTint="98" w:themeShade="95"/>
      </w:rPr>
      <w:tblPr/>
    </w:tblStylePr>
    <w:tblStylePr w:type="firstRow">
      <w:rPr>
        <w:b/>
        <w:color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themeColor="accent6" w:themeTint="98" w:themeShade="95"/>
      </w:rPr>
      <w:tblPr/>
    </w:tblStylePr>
    <w:tblStylePr w:type="lastRow">
      <w:rPr>
        <w:b/>
        <w:color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text1" w:themeTint="80" w:themeShade="95"/>
        <w:sz w:val="22"/>
      </w:rPr>
      <w:tblPr/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1" w:themeShade="95"/>
        <w:sz w:val="22"/>
      </w:rPr>
      <w:tblPr/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3" w:themeTint="98" w:themeShade="95"/>
        <w:sz w:val="22"/>
      </w:rPr>
      <w:tblPr/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5" w:themeTint="9a" w:themeShade="95"/>
        <w:sz w:val="22"/>
      </w:rPr>
      <w:tblPr/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6" w:themeTint="98" w:themeShade="95"/>
        <w:sz w:val="22"/>
      </w:rPr>
      <w:tblPr/>
    </w:tblStylePr>
  </w:style>
  <w:style w:type="table" w:styleId="773">
    <w:name w:val="Lined - Accent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sz w:val="22"/>
      </w:rPr>
      <w:tblPr/>
      <w:tcPr>
        <w:shd w:val="clear" w:color="FFFFFF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sz w:val="22"/>
      </w:rPr>
      <w:tblPr/>
      <w:tcPr>
        <w:shd w:val="clear" w:color="FFFFFF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sz w:val="22"/>
      </w:rPr>
      <w:tblPr/>
      <w:tcPr>
        <w:shd w:val="clear" w:color="FFFFFF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sz w:val="22"/>
      </w:rPr>
      <w:tblPr/>
      <w:tcPr>
        <w:shd w:val="clear" w:color="FFFFFF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sz w:val="22"/>
      </w:rPr>
      <w:tblPr/>
      <w:tcPr>
        <w:shd w:val="clear" w:color="FFFFFF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sz w:val="22"/>
      </w:rPr>
      <w:tblPr/>
      <w:tcPr>
        <w:shd w:val="clear" w:color="FFFFFF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97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gk2.ru/" TargetMode="External"/><Relationship Id="rId3" Type="http://schemas.openxmlformats.org/officeDocument/2006/relationships/hyperlink" Target="https://www.e-disclosure.ru/portal/company.aspx?id=7234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LibreOffice/7.6.4.1$Linux_X86_64 LibreOffice_project/60$Build-1</Application>
  <AppVersion>15.0000</AppVersion>
  <Pages>1</Pages>
  <Words>276</Words>
  <Characters>2041</Characters>
  <CharactersWithSpaces>2290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2020-10-28T07:00:00Z</dcterms:created>
  <dc:creator>shamne.anna</dc:creator>
  <dc:description/>
  <dc:language>ru-RU</dc:language>
  <cp:lastModifiedBy/>
  <cp:lastPrinted>2024-04-01T17:10:13Z</cp:lastPrinted>
  <dcterms:modified xsi:type="dcterms:W3CDTF">2024-04-01T17:11:07Z</dcterms:modified>
  <cp:revision>135</cp:revision>
  <dc:subject/>
  <dc:title>Сообщение о существенном факте</dc:title>
</cp:coreProperties>
</file>