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89" w:rsidRPr="0012457D" w:rsidRDefault="0012457D" w:rsidP="00DE09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539" w:right="539" w:hanging="539"/>
        <w:jc w:val="center"/>
        <w:rPr>
          <w:rFonts w:ascii="Tahoma" w:hAnsi="Tahoma" w:cs="Tahoma"/>
          <w:highlight w:val="lightGray"/>
          <w:shd w:val="clear" w:color="auto" w:fill="C0C0C0"/>
        </w:rPr>
      </w:pPr>
      <w:r w:rsidRPr="00A41C54">
        <w:rPr>
          <w:rFonts w:ascii="Tahoma" w:hAnsi="Tahoma" w:cs="Tahoma"/>
          <w:b/>
          <w:noProof/>
          <w:lang w:eastAsia="ru-RU"/>
        </w:rPr>
        <w:drawing>
          <wp:inline distT="0" distB="0" distL="0" distR="0" wp14:anchorId="3EFBCA10" wp14:editId="5C83AB04">
            <wp:extent cx="914400" cy="638175"/>
            <wp:effectExtent l="0" t="0" r="0" b="0"/>
            <wp:docPr id="2" name="Рисунок 2" descr="og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gk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89" w:rsidRPr="0012457D" w:rsidRDefault="00100A89" w:rsidP="004D4D88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355"/>
          <w:tab w:val="right" w:pos="9329"/>
        </w:tabs>
        <w:jc w:val="center"/>
        <w:rPr>
          <w:rFonts w:ascii="Tahoma" w:hAnsi="Tahoma" w:cs="Tahoma"/>
          <w:b/>
          <w:bCs/>
          <w:spacing w:val="-1"/>
          <w:shd w:val="clear" w:color="auto" w:fill="C0C0C0"/>
        </w:rPr>
      </w:pPr>
    </w:p>
    <w:p w:rsidR="00AA12EF" w:rsidRPr="007D1602" w:rsidRDefault="00AA12EF" w:rsidP="00AA1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outlineLvl w:val="2"/>
        <w:rPr>
          <w:rFonts w:ascii="Tahoma" w:hAnsi="Tahoma" w:cs="Tahoma"/>
          <w:sz w:val="24"/>
          <w:szCs w:val="24"/>
          <w:highlight w:val="lightGray"/>
          <w:lang w:val="en-US"/>
        </w:rPr>
      </w:pPr>
    </w:p>
    <w:p w:rsidR="00B4334B" w:rsidRPr="007D1602" w:rsidRDefault="00B4334B" w:rsidP="00AA1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ru-RU"/>
        </w:rPr>
      </w:pPr>
      <w:r w:rsidRPr="00B4334B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ru-RU"/>
        </w:rPr>
        <w:t xml:space="preserve">JSC “OGK-2” General Shareholders' Meeting </w:t>
      </w:r>
      <w:r w:rsidR="007D1602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ru-RU"/>
        </w:rPr>
        <w:t>Results</w:t>
      </w:r>
    </w:p>
    <w:p w:rsidR="00B4334B" w:rsidRPr="00B4334B" w:rsidRDefault="00B4334B" w:rsidP="00AA1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outlineLvl w:val="2"/>
        <w:rPr>
          <w:rFonts w:ascii="Tahoma" w:hAnsi="Tahoma" w:cs="Tahoma"/>
          <w:b/>
          <w:sz w:val="24"/>
          <w:szCs w:val="24"/>
          <w:highlight w:val="lightGray"/>
          <w:lang w:val="en-US"/>
        </w:rPr>
      </w:pPr>
    </w:p>
    <w:p w:rsidR="00B4334B" w:rsidRPr="00242AB2" w:rsidRDefault="00B4334B" w:rsidP="00AA1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outlineLvl w:val="2"/>
        <w:rPr>
          <w:rFonts w:ascii="Tahoma" w:hAnsi="Tahoma" w:cs="Tahoma"/>
          <w:sz w:val="24"/>
          <w:szCs w:val="24"/>
          <w:highlight w:val="lightGray"/>
          <w:lang w:val="en-US"/>
        </w:rPr>
      </w:pPr>
      <w:r w:rsidRPr="00B4334B">
        <w:rPr>
          <w:rFonts w:ascii="Tahoma" w:hAnsi="Tahoma" w:cs="Tahoma"/>
          <w:sz w:val="24"/>
          <w:szCs w:val="24"/>
          <w:lang w:val="en-US"/>
        </w:rPr>
        <w:t>OGK-2</w:t>
      </w:r>
      <w:r>
        <w:rPr>
          <w:rFonts w:ascii="Tahoma" w:hAnsi="Tahoma" w:cs="Tahoma"/>
          <w:sz w:val="24"/>
          <w:szCs w:val="24"/>
          <w:lang w:val="en-US"/>
        </w:rPr>
        <w:t xml:space="preserve"> Annual</w:t>
      </w:r>
      <w:r w:rsidRPr="00B4334B">
        <w:rPr>
          <w:rFonts w:ascii="Tahoma" w:hAnsi="Tahoma" w:cs="Tahoma"/>
          <w:sz w:val="24"/>
          <w:szCs w:val="24"/>
          <w:lang w:val="en-US"/>
        </w:rPr>
        <w:t xml:space="preserve"> General Shareholders' Meeting</w:t>
      </w:r>
      <w:r w:rsidR="00242AB2" w:rsidRPr="00242AB2">
        <w:rPr>
          <w:rFonts w:ascii="Tahoma" w:hAnsi="Tahoma" w:cs="Tahoma"/>
          <w:sz w:val="24"/>
          <w:szCs w:val="24"/>
          <w:lang w:val="en-US"/>
        </w:rPr>
        <w:t xml:space="preserve"> (</w:t>
      </w:r>
      <w:r w:rsidR="00E63313">
        <w:rPr>
          <w:rFonts w:ascii="Tahoma" w:hAnsi="Tahoma" w:cs="Tahoma"/>
          <w:sz w:val="24"/>
          <w:szCs w:val="24"/>
          <w:lang w:val="en-US"/>
        </w:rPr>
        <w:t xml:space="preserve">The </w:t>
      </w:r>
      <w:r w:rsidR="00242AB2">
        <w:rPr>
          <w:rFonts w:ascii="Tahoma" w:hAnsi="Tahoma" w:cs="Tahoma"/>
          <w:sz w:val="24"/>
          <w:szCs w:val="24"/>
          <w:lang w:val="en-US"/>
        </w:rPr>
        <w:t>AGM)</w:t>
      </w:r>
      <w:r>
        <w:rPr>
          <w:rFonts w:ascii="Tahoma" w:hAnsi="Tahoma" w:cs="Tahoma"/>
          <w:sz w:val="24"/>
          <w:szCs w:val="24"/>
          <w:lang w:val="en-US"/>
        </w:rPr>
        <w:t xml:space="preserve"> took place at June </w:t>
      </w:r>
      <w:r w:rsidR="00D211D6" w:rsidRPr="00D211D6">
        <w:rPr>
          <w:rFonts w:ascii="Tahoma" w:hAnsi="Tahoma" w:cs="Tahoma"/>
          <w:sz w:val="24"/>
          <w:szCs w:val="24"/>
          <w:lang w:val="en-US"/>
        </w:rPr>
        <w:t>2</w:t>
      </w:r>
      <w:r>
        <w:rPr>
          <w:rFonts w:ascii="Tahoma" w:hAnsi="Tahoma" w:cs="Tahoma"/>
          <w:sz w:val="24"/>
          <w:szCs w:val="24"/>
          <w:lang w:val="en-US"/>
        </w:rPr>
        <w:t>, 201</w:t>
      </w:r>
      <w:r w:rsidR="00D211D6" w:rsidRPr="00D211D6">
        <w:rPr>
          <w:rFonts w:ascii="Tahoma" w:hAnsi="Tahoma" w:cs="Tahoma"/>
          <w:sz w:val="24"/>
          <w:szCs w:val="24"/>
          <w:lang w:val="en-US"/>
        </w:rPr>
        <w:t>7</w:t>
      </w:r>
      <w:r w:rsidR="00242AB2">
        <w:rPr>
          <w:rFonts w:ascii="Tahoma" w:hAnsi="Tahoma" w:cs="Tahoma"/>
          <w:sz w:val="24"/>
          <w:szCs w:val="24"/>
          <w:lang w:val="en-US"/>
        </w:rPr>
        <w:t>.</w:t>
      </w:r>
    </w:p>
    <w:p w:rsidR="00242AB2" w:rsidRPr="00242AB2" w:rsidRDefault="00242AB2" w:rsidP="00AA1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outlineLvl w:val="2"/>
        <w:rPr>
          <w:rFonts w:ascii="Tahoma" w:hAnsi="Tahoma" w:cs="Tahoma"/>
          <w:sz w:val="24"/>
          <w:szCs w:val="24"/>
          <w:lang w:val="en-US"/>
        </w:rPr>
      </w:pPr>
      <w:r w:rsidRPr="00242AB2">
        <w:rPr>
          <w:rFonts w:ascii="Tahoma" w:hAnsi="Tahoma" w:cs="Tahoma"/>
          <w:sz w:val="24"/>
          <w:szCs w:val="24"/>
          <w:lang w:val="en-US"/>
        </w:rPr>
        <w:t>Shareholders</w:t>
      </w:r>
      <w:r>
        <w:rPr>
          <w:rFonts w:ascii="Tahoma" w:hAnsi="Tahoma" w:cs="Tahoma"/>
          <w:sz w:val="24"/>
          <w:szCs w:val="24"/>
          <w:lang w:val="en-US"/>
        </w:rPr>
        <w:t xml:space="preserve"> reviewed and approved the Company Annual Report for 201</w:t>
      </w:r>
      <w:r w:rsidR="00D211D6" w:rsidRPr="00D211D6">
        <w:rPr>
          <w:rFonts w:ascii="Tahoma" w:hAnsi="Tahoma" w:cs="Tahoma"/>
          <w:sz w:val="24"/>
          <w:szCs w:val="24"/>
          <w:lang w:val="en-US"/>
        </w:rPr>
        <w:t>6</w:t>
      </w:r>
      <w:r>
        <w:rPr>
          <w:rFonts w:ascii="Tahoma" w:hAnsi="Tahoma" w:cs="Tahoma"/>
          <w:sz w:val="24"/>
          <w:szCs w:val="24"/>
          <w:lang w:val="en-US"/>
        </w:rPr>
        <w:t xml:space="preserve"> and Financial Statements.</w:t>
      </w:r>
    </w:p>
    <w:p w:rsidR="00242AB2" w:rsidRPr="00242AB2" w:rsidRDefault="00242AB2" w:rsidP="00F7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  <w:lang w:val="en-US"/>
        </w:rPr>
      </w:pPr>
      <w:r w:rsidRPr="00242AB2">
        <w:rPr>
          <w:rFonts w:ascii="Tahoma" w:hAnsi="Tahoma" w:cs="Tahoma"/>
          <w:sz w:val="24"/>
          <w:szCs w:val="24"/>
          <w:lang w:val="en-US"/>
        </w:rPr>
        <w:t>The meeting adopted a decision on distribution of profit for the 201</w:t>
      </w:r>
      <w:r w:rsidR="00D211D6" w:rsidRPr="00D211D6">
        <w:rPr>
          <w:rFonts w:ascii="Tahoma" w:hAnsi="Tahoma" w:cs="Tahoma"/>
          <w:sz w:val="24"/>
          <w:szCs w:val="24"/>
          <w:lang w:val="en-US"/>
        </w:rPr>
        <w:t>6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financial year in the amount of 3 billion </w:t>
      </w:r>
      <w:r w:rsidR="00D211D6" w:rsidRPr="00D211D6">
        <w:rPr>
          <w:rFonts w:ascii="Tahoma" w:hAnsi="Tahoma" w:cs="Tahoma"/>
          <w:sz w:val="24"/>
          <w:szCs w:val="24"/>
          <w:lang w:val="en-US"/>
        </w:rPr>
        <w:t>496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million </w:t>
      </w:r>
      <w:r>
        <w:rPr>
          <w:rFonts w:ascii="Tahoma" w:hAnsi="Tahoma" w:cs="Tahoma"/>
          <w:sz w:val="24"/>
          <w:szCs w:val="24"/>
          <w:lang w:val="en-US"/>
        </w:rPr>
        <w:t>r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ubles. </w:t>
      </w:r>
      <w:r w:rsidR="00D211D6">
        <w:rPr>
          <w:rFonts w:ascii="Tahoma" w:hAnsi="Tahoma" w:cs="Tahoma"/>
          <w:sz w:val="24"/>
          <w:szCs w:val="24"/>
          <w:lang w:val="en-US"/>
        </w:rPr>
        <w:t>At Company’s disposal</w:t>
      </w:r>
      <w:r w:rsidR="00D211D6" w:rsidRPr="00D211D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2 billion </w:t>
      </w:r>
      <w:r w:rsidR="00D211D6">
        <w:rPr>
          <w:rFonts w:ascii="Tahoma" w:hAnsi="Tahoma" w:cs="Tahoma"/>
          <w:sz w:val="24"/>
          <w:szCs w:val="24"/>
          <w:lang w:val="en-US"/>
        </w:rPr>
        <w:t>447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million </w:t>
      </w:r>
      <w:r w:rsidR="00D211D6">
        <w:rPr>
          <w:rFonts w:ascii="Tahoma" w:hAnsi="Tahoma" w:cs="Tahoma"/>
          <w:sz w:val="24"/>
          <w:szCs w:val="24"/>
          <w:lang w:val="en-US"/>
        </w:rPr>
        <w:t>685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thousand </w:t>
      </w:r>
      <w:r w:rsidR="00F7042D">
        <w:rPr>
          <w:rFonts w:ascii="Tahoma" w:hAnsi="Tahoma" w:cs="Tahoma"/>
          <w:sz w:val="24"/>
          <w:szCs w:val="24"/>
          <w:lang w:val="en-US"/>
        </w:rPr>
        <w:t>r</w:t>
      </w:r>
      <w:r w:rsidRPr="00242AB2">
        <w:rPr>
          <w:rFonts w:ascii="Tahoma" w:hAnsi="Tahoma" w:cs="Tahoma"/>
          <w:sz w:val="24"/>
          <w:szCs w:val="24"/>
          <w:lang w:val="en-US"/>
        </w:rPr>
        <w:t>ubles</w:t>
      </w:r>
      <w:r w:rsidR="00D211D6">
        <w:rPr>
          <w:rFonts w:ascii="Tahoma" w:hAnsi="Tahoma" w:cs="Tahoma"/>
          <w:sz w:val="24"/>
          <w:szCs w:val="24"/>
          <w:lang w:val="en-US"/>
        </w:rPr>
        <w:t xml:space="preserve"> were allocated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. </w:t>
      </w:r>
      <w:r w:rsidR="00F7042D">
        <w:rPr>
          <w:rFonts w:ascii="Tahoma" w:hAnsi="Tahoma" w:cs="Tahoma"/>
          <w:sz w:val="24"/>
          <w:szCs w:val="24"/>
          <w:lang w:val="en-US"/>
        </w:rPr>
        <w:t>For the purpose of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formation of the reserve fund </w:t>
      </w:r>
      <w:r w:rsidR="006E3982">
        <w:rPr>
          <w:rFonts w:ascii="Tahoma" w:hAnsi="Tahoma" w:cs="Tahoma"/>
          <w:sz w:val="24"/>
          <w:szCs w:val="24"/>
          <w:lang w:val="en-US"/>
        </w:rPr>
        <w:t xml:space="preserve">the amount of </w:t>
      </w:r>
      <w:r w:rsidRPr="00242AB2">
        <w:rPr>
          <w:rFonts w:ascii="Tahoma" w:hAnsi="Tahoma" w:cs="Tahoma"/>
          <w:sz w:val="24"/>
          <w:szCs w:val="24"/>
          <w:lang w:val="en-US"/>
        </w:rPr>
        <w:t>1</w:t>
      </w:r>
      <w:r w:rsidR="00D211D6">
        <w:rPr>
          <w:rFonts w:ascii="Tahoma" w:hAnsi="Tahoma" w:cs="Tahoma"/>
          <w:sz w:val="24"/>
          <w:szCs w:val="24"/>
          <w:lang w:val="en-US"/>
        </w:rPr>
        <w:t>74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million </w:t>
      </w:r>
      <w:r w:rsidR="00D211D6">
        <w:rPr>
          <w:rFonts w:ascii="Tahoma" w:hAnsi="Tahoma" w:cs="Tahoma"/>
          <w:sz w:val="24"/>
          <w:szCs w:val="24"/>
          <w:lang w:val="en-US"/>
        </w:rPr>
        <w:t>834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thous</w:t>
      </w:r>
      <w:r w:rsidR="00F7042D">
        <w:rPr>
          <w:rFonts w:ascii="Tahoma" w:hAnsi="Tahoma" w:cs="Tahoma"/>
          <w:sz w:val="24"/>
          <w:szCs w:val="24"/>
          <w:lang w:val="en-US"/>
        </w:rPr>
        <w:t>and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</w:t>
      </w:r>
      <w:r w:rsidR="00F7042D">
        <w:rPr>
          <w:rFonts w:ascii="Tahoma" w:hAnsi="Tahoma" w:cs="Tahoma"/>
          <w:sz w:val="24"/>
          <w:szCs w:val="24"/>
          <w:lang w:val="en-US"/>
        </w:rPr>
        <w:t>r</w:t>
      </w:r>
      <w:r w:rsidRPr="00242AB2">
        <w:rPr>
          <w:rFonts w:ascii="Tahoma" w:hAnsi="Tahoma" w:cs="Tahoma"/>
          <w:sz w:val="24"/>
          <w:szCs w:val="24"/>
          <w:lang w:val="en-US"/>
        </w:rPr>
        <w:t>ubles</w:t>
      </w:r>
      <w:r w:rsidR="00F7042D">
        <w:rPr>
          <w:rFonts w:ascii="Tahoma" w:hAnsi="Tahoma" w:cs="Tahoma"/>
          <w:sz w:val="24"/>
          <w:szCs w:val="24"/>
          <w:lang w:val="en-US"/>
        </w:rPr>
        <w:t xml:space="preserve"> was allocated</w:t>
      </w:r>
      <w:r w:rsidRPr="00242AB2">
        <w:rPr>
          <w:rFonts w:ascii="Tahoma" w:hAnsi="Tahoma" w:cs="Tahoma"/>
          <w:sz w:val="24"/>
          <w:szCs w:val="24"/>
          <w:lang w:val="en-US"/>
        </w:rPr>
        <w:t>. A decision</w:t>
      </w:r>
      <w:r w:rsidR="00F7042D">
        <w:rPr>
          <w:rFonts w:ascii="Tahoma" w:hAnsi="Tahoma" w:cs="Tahoma"/>
          <w:sz w:val="24"/>
          <w:szCs w:val="24"/>
          <w:lang w:val="en-US"/>
        </w:rPr>
        <w:t xml:space="preserve"> was made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to pay dividends </w:t>
      </w:r>
      <w:r w:rsidR="00F7042D">
        <w:rPr>
          <w:rFonts w:ascii="Tahoma" w:hAnsi="Tahoma" w:cs="Tahoma"/>
          <w:sz w:val="24"/>
          <w:szCs w:val="24"/>
          <w:lang w:val="en-US"/>
        </w:rPr>
        <w:t>for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ordinary shares of the Company </w:t>
      </w:r>
      <w:r w:rsidR="00F7042D">
        <w:rPr>
          <w:rFonts w:ascii="Tahoma" w:hAnsi="Tahoma" w:cs="Tahoma"/>
          <w:sz w:val="24"/>
          <w:szCs w:val="24"/>
          <w:lang w:val="en-US"/>
        </w:rPr>
        <w:t>for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201</w:t>
      </w:r>
      <w:r w:rsidR="00D211D6">
        <w:rPr>
          <w:rFonts w:ascii="Tahoma" w:hAnsi="Tahoma" w:cs="Tahoma"/>
          <w:sz w:val="24"/>
          <w:szCs w:val="24"/>
          <w:lang w:val="en-US"/>
        </w:rPr>
        <w:t>6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in the amount of </w:t>
      </w:r>
      <w:r w:rsidR="00D211D6">
        <w:rPr>
          <w:rFonts w:ascii="Tahoma" w:hAnsi="Tahoma" w:cs="Tahoma"/>
          <w:sz w:val="24"/>
          <w:szCs w:val="24"/>
          <w:lang w:val="en-US"/>
        </w:rPr>
        <w:t>874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million </w:t>
      </w:r>
      <w:r w:rsidR="00D211D6">
        <w:rPr>
          <w:rFonts w:ascii="Tahoma" w:hAnsi="Tahoma" w:cs="Tahoma"/>
          <w:sz w:val="24"/>
          <w:szCs w:val="24"/>
          <w:lang w:val="en-US"/>
        </w:rPr>
        <w:t>173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thousand </w:t>
      </w:r>
      <w:r w:rsidR="00F7042D">
        <w:rPr>
          <w:rFonts w:ascii="Tahoma" w:hAnsi="Tahoma" w:cs="Tahoma"/>
          <w:sz w:val="24"/>
          <w:szCs w:val="24"/>
          <w:lang w:val="en-US"/>
        </w:rPr>
        <w:t>r</w:t>
      </w:r>
      <w:r w:rsidRPr="00242AB2">
        <w:rPr>
          <w:rFonts w:ascii="Tahoma" w:hAnsi="Tahoma" w:cs="Tahoma"/>
          <w:sz w:val="24"/>
          <w:szCs w:val="24"/>
          <w:lang w:val="en-US"/>
        </w:rPr>
        <w:t>ubles (0.00</w:t>
      </w:r>
      <w:r w:rsidR="00D211D6">
        <w:rPr>
          <w:rFonts w:ascii="Tahoma" w:hAnsi="Tahoma" w:cs="Tahoma"/>
          <w:sz w:val="24"/>
          <w:szCs w:val="24"/>
          <w:lang w:val="en-US"/>
        </w:rPr>
        <w:t>825304739908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rubles per ordinary share of the Company), </w:t>
      </w:r>
      <w:r w:rsidR="00E63313">
        <w:rPr>
          <w:rFonts w:ascii="Tahoma" w:hAnsi="Tahoma" w:cs="Tahoma"/>
          <w:sz w:val="24"/>
          <w:szCs w:val="24"/>
          <w:lang w:val="en-US"/>
        </w:rPr>
        <w:t xml:space="preserve">which </w:t>
      </w:r>
      <w:r w:rsidRPr="00242AB2">
        <w:rPr>
          <w:rFonts w:ascii="Tahoma" w:hAnsi="Tahoma" w:cs="Tahoma"/>
          <w:sz w:val="24"/>
          <w:szCs w:val="24"/>
          <w:lang w:val="en-US"/>
        </w:rPr>
        <w:t>represent</w:t>
      </w:r>
      <w:r w:rsidR="00E63313">
        <w:rPr>
          <w:rFonts w:ascii="Tahoma" w:hAnsi="Tahoma" w:cs="Tahoma"/>
          <w:sz w:val="24"/>
          <w:szCs w:val="24"/>
          <w:lang w:val="en-US"/>
        </w:rPr>
        <w:t>s</w:t>
      </w:r>
      <w:r w:rsidRPr="00242AB2">
        <w:rPr>
          <w:rFonts w:ascii="Tahoma" w:hAnsi="Tahoma" w:cs="Tahoma"/>
          <w:sz w:val="24"/>
          <w:szCs w:val="24"/>
          <w:lang w:val="en-US"/>
        </w:rPr>
        <w:t xml:space="preserve"> 2</w:t>
      </w:r>
      <w:r w:rsidR="00D211D6">
        <w:rPr>
          <w:rFonts w:ascii="Tahoma" w:hAnsi="Tahoma" w:cs="Tahoma"/>
          <w:sz w:val="24"/>
          <w:szCs w:val="24"/>
          <w:lang w:val="en-US"/>
        </w:rPr>
        <w:t>5</w:t>
      </w:r>
      <w:r w:rsidRPr="00242AB2">
        <w:rPr>
          <w:rFonts w:ascii="Tahoma" w:hAnsi="Tahoma" w:cs="Tahoma"/>
          <w:sz w:val="24"/>
          <w:szCs w:val="24"/>
          <w:lang w:val="en-US"/>
        </w:rPr>
        <w:t>% of net profit under RAS.</w:t>
      </w:r>
    </w:p>
    <w:p w:rsidR="00E63313" w:rsidRPr="00E63313" w:rsidRDefault="00E63313" w:rsidP="00E63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ind w:firstLine="567"/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T</w:t>
      </w:r>
      <w:r w:rsidRPr="00E63313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he AGM elected a new Board of Directors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:</w:t>
      </w:r>
    </w:p>
    <w:p w:rsidR="00645656" w:rsidRPr="00242AB2" w:rsidRDefault="00645656" w:rsidP="00E63313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</w:pPr>
      <w:r w:rsidRPr="00645656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Abdullin Roman Eduardovich</w:t>
      </w:r>
      <w:r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,</w:t>
      </w:r>
      <w:r w:rsidRPr="00645656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 xml:space="preserve"> </w:t>
      </w:r>
      <w:r w:rsidRPr="00242AB2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Deputy Head of Division, PJSC “Gazprom”;</w:t>
      </w:r>
    </w:p>
    <w:p w:rsidR="00D64E93" w:rsidRPr="00B8586D" w:rsidRDefault="00D211D6" w:rsidP="00645656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Cs/>
          <w:color w:val="auto"/>
          <w:sz w:val="24"/>
          <w:szCs w:val="24"/>
          <w:lang w:val="en-US" w:eastAsia="ru-RU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Ananyev Stanislav Anatolevich</w:t>
      </w:r>
      <w:r w:rsidR="00AA12EF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, </w:t>
      </w:r>
      <w:r w:rsidR="00645656"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General Director, JSC “OGK-2”;</w:t>
      </w:r>
    </w:p>
    <w:p w:rsidR="00D64E93" w:rsidRPr="00B8586D" w:rsidRDefault="00645656" w:rsidP="006642C7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Cs/>
          <w:color w:val="auto"/>
          <w:sz w:val="24"/>
          <w:szCs w:val="24"/>
          <w:lang w:val="en-US" w:eastAsia="ru-RU"/>
        </w:rPr>
      </w:pPr>
      <w:r w:rsidRPr="00B8586D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Dolin Yury Efimovich</w:t>
      </w:r>
      <w:r w:rsidR="00AA12EF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, </w:t>
      </w:r>
      <w:r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Deputy Director General on </w:t>
      </w:r>
      <w:r w:rsidR="006642C7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C</w:t>
      </w:r>
      <w:r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apital </w:t>
      </w:r>
      <w:r w:rsidR="006642C7" w:rsidRPr="006642C7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Construction</w:t>
      </w:r>
      <w:r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, OOO “Gazprom energoholding”</w:t>
      </w:r>
      <w:r w:rsidR="00AA12EF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;</w:t>
      </w:r>
    </w:p>
    <w:p w:rsidR="00D64E93" w:rsidRPr="00B8586D" w:rsidRDefault="00D211D6" w:rsidP="00E71600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Cs/>
          <w:color w:val="auto"/>
          <w:sz w:val="24"/>
          <w:szCs w:val="24"/>
          <w:lang w:val="en-US" w:eastAsia="ru-RU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Zemlyanoy Evgeniy Nikolaevich</w:t>
      </w:r>
      <w:r w:rsidR="00AA12EF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,</w:t>
      </w:r>
      <w:r w:rsidR="00D64E93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 </w:t>
      </w:r>
      <w:r w:rsidR="00E71600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Deputy Director General on </w:t>
      </w:r>
      <w:r w:rsidR="006642C7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E</w:t>
      </w:r>
      <w:r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conomic</w:t>
      </w:r>
      <w:r w:rsidR="006642C7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s</w:t>
      </w:r>
      <w:r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 and </w:t>
      </w:r>
      <w:r w:rsidR="006642C7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F</w:t>
      </w:r>
      <w:r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inance</w:t>
      </w:r>
      <w:r w:rsidR="00E71600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, OOO “Gazprom energoholding”;</w:t>
      </w:r>
    </w:p>
    <w:p w:rsidR="00D64E93" w:rsidRPr="00B8586D" w:rsidRDefault="00E71600" w:rsidP="00E71600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Cs/>
          <w:color w:val="auto"/>
          <w:sz w:val="24"/>
          <w:szCs w:val="24"/>
          <w:lang w:val="en-US" w:eastAsia="ru-RU"/>
        </w:rPr>
      </w:pPr>
      <w:r w:rsidRPr="00B8586D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Korobkina Irina Yuryevna</w:t>
      </w:r>
      <w:r w:rsidR="00AA12EF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, </w:t>
      </w:r>
      <w:r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Deputy Head of Department, PJSC “Gazprom”</w:t>
      </w:r>
      <w:r w:rsidR="00AA12EF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;</w:t>
      </w:r>
    </w:p>
    <w:p w:rsidR="00D64E93" w:rsidRPr="00B8586D" w:rsidRDefault="00E71600" w:rsidP="00E71600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Cs/>
          <w:color w:val="auto"/>
          <w:sz w:val="24"/>
          <w:szCs w:val="24"/>
          <w:lang w:val="en-US" w:eastAsia="ru-RU"/>
        </w:rPr>
      </w:pPr>
      <w:r w:rsidRPr="00B8586D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Kulikov Denis Viktorovich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, </w:t>
      </w:r>
      <w:r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Adviser of the Executive director, Association of Professional Investors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;</w:t>
      </w:r>
      <w:r w:rsidR="00D64E93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 </w:t>
      </w:r>
    </w:p>
    <w:p w:rsidR="00D64E93" w:rsidRPr="00B8586D" w:rsidRDefault="00E71600" w:rsidP="00E71600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Cs/>
          <w:color w:val="auto"/>
          <w:sz w:val="24"/>
          <w:szCs w:val="24"/>
          <w:lang w:val="en-US" w:eastAsia="ru-RU"/>
        </w:rPr>
      </w:pPr>
      <w:r w:rsidRPr="00B8586D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Rogov Alexader Vladimirovich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, </w:t>
      </w:r>
      <w:r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Deputy Head of Department</w:t>
      </w:r>
      <w:r w:rsidR="006642C7" w:rsidRPr="006642C7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 </w:t>
      </w:r>
      <w:r w:rsidR="006642C7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- h</w:t>
      </w:r>
      <w:r w:rsidR="006642C7"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ead of the unit</w:t>
      </w:r>
      <w:r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, PJSC “Gazprom”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;</w:t>
      </w:r>
    </w:p>
    <w:p w:rsidR="00D64E93" w:rsidRPr="00B8586D" w:rsidRDefault="00E71600" w:rsidP="00E71600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Cs/>
          <w:color w:val="auto"/>
          <w:sz w:val="24"/>
          <w:szCs w:val="24"/>
          <w:lang w:val="en-US" w:eastAsia="ru-RU"/>
        </w:rPr>
      </w:pPr>
      <w:r w:rsidRPr="00B8586D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Fedorov Denis Vladimirovich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, </w:t>
      </w:r>
      <w:r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General Director, JSC “Centrenergoholding”; General Director, OOO “Gazprom energoholding”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;</w:t>
      </w:r>
    </w:p>
    <w:p w:rsidR="00D64E93" w:rsidRPr="00B8586D" w:rsidRDefault="00E71600" w:rsidP="00E71600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Cs/>
          <w:color w:val="auto"/>
          <w:sz w:val="24"/>
          <w:szCs w:val="24"/>
          <w:lang w:val="en-US" w:eastAsia="ru-RU"/>
        </w:rPr>
      </w:pPr>
      <w:r w:rsidRPr="00B8586D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Fil Sergey Sergeyevich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,</w:t>
      </w:r>
      <w:r w:rsidR="00D64E93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 </w:t>
      </w:r>
      <w:r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Deputy Director General on </w:t>
      </w:r>
      <w:r w:rsidR="006642C7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C</w:t>
      </w:r>
      <w:r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orporate and </w:t>
      </w:r>
      <w:r w:rsidR="006642C7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L</w:t>
      </w:r>
      <w:r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aw, OOO “Gazprom energoholding”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;</w:t>
      </w:r>
    </w:p>
    <w:p w:rsidR="00D64E93" w:rsidRPr="00B8586D" w:rsidRDefault="00E71600" w:rsidP="00E71600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Cs/>
          <w:color w:val="auto"/>
          <w:sz w:val="24"/>
          <w:szCs w:val="24"/>
          <w:lang w:val="en-US" w:eastAsia="ru-RU"/>
        </w:rPr>
      </w:pPr>
      <w:r w:rsidRPr="00B8586D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Shatsky Pavel Olegovich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, </w:t>
      </w:r>
      <w:r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First Deputy Director General, OOO “Gazprom energoholding”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;</w:t>
      </w:r>
    </w:p>
    <w:p w:rsidR="00D64E93" w:rsidRPr="00B8586D" w:rsidRDefault="00E71600" w:rsidP="00E71600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Cs/>
          <w:color w:val="auto"/>
          <w:sz w:val="24"/>
          <w:szCs w:val="24"/>
          <w:lang w:val="en-US" w:eastAsia="ru-RU"/>
        </w:rPr>
      </w:pPr>
      <w:r w:rsidRPr="00B8586D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Shevchyuk Alexander Viktorovich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, </w:t>
      </w:r>
      <w:r w:rsidR="00B8586D"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Executive director, Association of Professional Investors</w:t>
      </w:r>
      <w:r w:rsidR="006E6FFA" w:rsidRPr="00B8586D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.</w:t>
      </w:r>
    </w:p>
    <w:p w:rsidR="00AA12EF" w:rsidRPr="00B8586D" w:rsidRDefault="00AA12EF" w:rsidP="00D64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highlight w:val="lightGray"/>
          <w:lang w:val="en-US" w:eastAsia="ru-RU"/>
        </w:rPr>
      </w:pPr>
    </w:p>
    <w:p w:rsidR="009D188C" w:rsidRPr="00E63313" w:rsidRDefault="00C75AB1" w:rsidP="00D64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highlight w:val="lightGray"/>
          <w:lang w:val="en-US" w:eastAsia="ru-RU"/>
        </w:rPr>
      </w:pPr>
      <w:r w:rsidRPr="00E63313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The new body of OGK-2 </w:t>
      </w:r>
      <w:r w:rsidRPr="00E63313">
        <w:rPr>
          <w:rFonts w:ascii="Tahoma" w:hAnsi="Tahoma" w:cs="Tahoma"/>
          <w:sz w:val="24"/>
          <w:szCs w:val="24"/>
          <w:lang w:val="en-US"/>
        </w:rPr>
        <w:t>Audit Commission wa</w:t>
      </w:r>
      <w:r w:rsidR="007D1602">
        <w:rPr>
          <w:rFonts w:ascii="Tahoma" w:hAnsi="Tahoma" w:cs="Tahoma"/>
          <w:sz w:val="24"/>
          <w:szCs w:val="24"/>
          <w:lang w:val="en-US"/>
        </w:rPr>
        <w:t>s</w:t>
      </w:r>
      <w:r w:rsidRPr="00E63313">
        <w:rPr>
          <w:rFonts w:ascii="Tahoma" w:hAnsi="Tahoma" w:cs="Tahoma"/>
          <w:sz w:val="24"/>
          <w:szCs w:val="24"/>
          <w:lang w:val="en-US"/>
        </w:rPr>
        <w:t xml:space="preserve"> formed by:</w:t>
      </w:r>
    </w:p>
    <w:p w:rsidR="00104961" w:rsidRPr="002C274C" w:rsidRDefault="00104961" w:rsidP="00104961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color w:val="auto"/>
          <w:sz w:val="24"/>
          <w:szCs w:val="24"/>
          <w:lang w:val="en-US" w:eastAsia="ru-RU"/>
        </w:rPr>
      </w:pPr>
      <w:r w:rsidRPr="002C274C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 xml:space="preserve">Bikulov Vadim Kasymovich, </w:t>
      </w:r>
      <w:r w:rsidRPr="002C274C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Deputy Head of Division – Head</w:t>
      </w:r>
      <w:r w:rsidR="006642C7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 of</w:t>
      </w:r>
      <w:r w:rsidRPr="002C274C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 Department of PJSC “Gazprom”</w:t>
      </w:r>
    </w:p>
    <w:p w:rsidR="00D64E93" w:rsidRPr="002C274C" w:rsidRDefault="002C274C" w:rsidP="002C274C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color w:val="auto"/>
          <w:sz w:val="24"/>
          <w:szCs w:val="24"/>
          <w:lang w:val="en-US" w:eastAsia="ru-RU"/>
        </w:rPr>
      </w:pPr>
      <w:r w:rsidRPr="002C274C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 xml:space="preserve">Korshnyakov Denis Anatolyevich, </w:t>
      </w:r>
      <w:r w:rsidRPr="002C274C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Head of long-term financial investments unit OOO “Gazprom energoholding”</w:t>
      </w:r>
      <w:r w:rsidR="006E6FFA" w:rsidRPr="002C274C">
        <w:rPr>
          <w:rFonts w:ascii="Tahoma" w:hAnsi="Tahoma" w:cs="Tahoma"/>
          <w:color w:val="auto"/>
          <w:sz w:val="24"/>
          <w:szCs w:val="24"/>
          <w:lang w:val="en-US" w:eastAsia="ru-RU"/>
        </w:rPr>
        <w:t>;</w:t>
      </w:r>
    </w:p>
    <w:p w:rsidR="00D64E93" w:rsidRPr="002C274C" w:rsidRDefault="002C274C" w:rsidP="002C274C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color w:val="auto"/>
          <w:sz w:val="24"/>
          <w:szCs w:val="24"/>
          <w:lang w:val="en-US" w:eastAsia="ru-RU"/>
        </w:rPr>
      </w:pPr>
      <w:r w:rsidRPr="002C274C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Linovitsky Yury Andreevich</w:t>
      </w:r>
      <w:r w:rsidR="006E6FFA" w:rsidRPr="002C274C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, </w:t>
      </w:r>
      <w:r w:rsidRPr="002C274C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Head of Internal Audit OOO “Gazprom energoholding” the Project Internal audit of OOO “Gazprom personal”</w:t>
      </w:r>
      <w:r w:rsidRPr="002C274C">
        <w:rPr>
          <w:color w:val="1F497D"/>
          <w:lang w:val="en-GB"/>
        </w:rPr>
        <w:t xml:space="preserve"> </w:t>
      </w:r>
    </w:p>
    <w:p w:rsidR="00D64E93" w:rsidRPr="002C274C" w:rsidRDefault="002C274C" w:rsidP="002C274C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color w:val="auto"/>
          <w:sz w:val="24"/>
          <w:szCs w:val="24"/>
          <w:lang w:val="en-US" w:eastAsia="ru-RU"/>
        </w:rPr>
      </w:pPr>
      <w:r w:rsidRPr="002C274C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Mironova Margarita Ivanovna</w:t>
      </w:r>
      <w:r w:rsidR="006E6FFA" w:rsidRPr="002C274C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, </w:t>
      </w:r>
      <w:r w:rsidRPr="002C274C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First Deputy Administrator Management Board Apparatus-Head of Division PJSC “Gazprom”</w:t>
      </w:r>
      <w:r w:rsidR="006E6FFA" w:rsidRPr="002C274C">
        <w:rPr>
          <w:rFonts w:ascii="Tahoma" w:hAnsi="Tahoma" w:cs="Tahoma"/>
          <w:color w:val="auto"/>
          <w:sz w:val="24"/>
          <w:szCs w:val="24"/>
          <w:lang w:val="en-US" w:eastAsia="ru-RU"/>
        </w:rPr>
        <w:t>;</w:t>
      </w:r>
      <w:r w:rsidR="00D64E93" w:rsidRPr="002C274C">
        <w:rPr>
          <w:rFonts w:ascii="Tahoma" w:hAnsi="Tahoma" w:cs="Tahoma"/>
          <w:color w:val="auto"/>
          <w:sz w:val="24"/>
          <w:szCs w:val="24"/>
          <w:lang w:val="en-US" w:eastAsia="ru-RU"/>
        </w:rPr>
        <w:t xml:space="preserve"> </w:t>
      </w:r>
    </w:p>
    <w:p w:rsidR="00D64E93" w:rsidRPr="002C274C" w:rsidRDefault="002C274C" w:rsidP="002C274C">
      <w:pPr>
        <w:pStyle w:val="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color w:val="auto"/>
          <w:sz w:val="24"/>
          <w:szCs w:val="24"/>
          <w:lang w:val="en-US" w:eastAsia="ru-RU"/>
        </w:rPr>
      </w:pPr>
      <w:r w:rsidRPr="002C274C">
        <w:rPr>
          <w:rFonts w:ascii="Tahoma" w:hAnsi="Tahoma" w:cs="Tahoma"/>
          <w:b/>
          <w:bCs/>
          <w:color w:val="auto"/>
          <w:sz w:val="24"/>
          <w:szCs w:val="24"/>
          <w:lang w:val="en-US" w:eastAsia="ru-RU"/>
        </w:rPr>
        <w:t>Yuzifofich Aleksander Mikhailovich</w:t>
      </w:r>
      <w:r w:rsidR="006E6FFA" w:rsidRPr="002C274C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 xml:space="preserve">, </w:t>
      </w:r>
      <w:r w:rsidRPr="002C274C">
        <w:rPr>
          <w:rFonts w:ascii="Tahoma" w:hAnsi="Tahoma" w:cs="Tahoma"/>
          <w:bCs/>
          <w:color w:val="auto"/>
          <w:sz w:val="24"/>
          <w:szCs w:val="24"/>
          <w:lang w:val="en-US" w:eastAsia="ru-RU"/>
        </w:rPr>
        <w:t>Deputy Head of corporate finance and budgeting Department OOO “Gazprom energoholding”</w:t>
      </w:r>
      <w:r w:rsidR="006E6FFA" w:rsidRPr="002C274C">
        <w:rPr>
          <w:rFonts w:ascii="Tahoma" w:hAnsi="Tahoma" w:cs="Tahoma"/>
          <w:color w:val="auto"/>
          <w:sz w:val="24"/>
          <w:szCs w:val="24"/>
          <w:lang w:val="en-US" w:eastAsia="ru-RU"/>
        </w:rPr>
        <w:t xml:space="preserve">. </w:t>
      </w:r>
    </w:p>
    <w:p w:rsidR="00E63313" w:rsidRDefault="00E63313" w:rsidP="00CD35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</w:tabs>
        <w:spacing w:after="0" w:line="240" w:lineRule="auto"/>
        <w:ind w:firstLine="567"/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</w:pPr>
    </w:p>
    <w:p w:rsidR="009D188C" w:rsidRPr="00E63313" w:rsidRDefault="00CD35B4" w:rsidP="00CD35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</w:tabs>
        <w:spacing w:after="0" w:line="240" w:lineRule="auto"/>
        <w:ind w:firstLine="567"/>
        <w:rPr>
          <w:rFonts w:ascii="Tahoma" w:eastAsia="Times New Roman" w:hAnsi="Tahoma" w:cs="Tahoma"/>
          <w:color w:val="000000" w:themeColor="text1"/>
          <w:sz w:val="24"/>
          <w:szCs w:val="24"/>
          <w:highlight w:val="lightGray"/>
          <w:lang w:val="en-US" w:eastAsia="ru-RU"/>
        </w:rPr>
      </w:pPr>
      <w:r w:rsidRPr="00E63313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JSC “BDO Unicon” </w:t>
      </w:r>
      <w:r w:rsidRPr="00E63313">
        <w:rPr>
          <w:rFonts w:ascii="Tahoma" w:hAnsi="Tahoma" w:cs="Tahoma"/>
          <w:sz w:val="24"/>
          <w:szCs w:val="24"/>
          <w:lang w:val="en-US"/>
        </w:rPr>
        <w:t xml:space="preserve">was approved to be the auditor of </w:t>
      </w:r>
      <w:r w:rsidRPr="00E63313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OGK-2</w:t>
      </w:r>
      <w:r w:rsidR="00E63313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.</w:t>
      </w:r>
    </w:p>
    <w:p w:rsidR="00CD35B4" w:rsidRDefault="00CD35B4" w:rsidP="00307F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R</w:t>
      </w:r>
      <w:r w:rsidRPr="00CD35B4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evised version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s of the following </w:t>
      </w:r>
      <w:r w:rsidR="00BE5215" w:rsidRPr="00B8586D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JSC “OGK-2”</w:t>
      </w:r>
      <w:r w:rsidR="00BE5215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documents were approved at </w:t>
      </w:r>
      <w:r w:rsidR="00E63313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T</w:t>
      </w:r>
      <w:r w:rsidRPr="00CD35B4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he </w:t>
      </w:r>
      <w:r w:rsidR="00E63313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AGM</w:t>
      </w:r>
      <w:r w:rsidR="00BE5215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: </w:t>
      </w:r>
      <w:r w:rsidR="007D1602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Charter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, R</w:t>
      </w:r>
      <w:r w:rsidRPr="00CD35B4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ules and regulations for the </w:t>
      </w:r>
      <w:r w:rsidR="00BE5215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G</w:t>
      </w:r>
      <w:r w:rsidRPr="00CD35B4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eneral shareholders' meeting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,</w:t>
      </w:r>
      <w:r w:rsidR="00BE5215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 R</w:t>
      </w:r>
      <w:r w:rsidR="00BE5215" w:rsidRPr="00CD35B4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ules and regulations for</w:t>
      </w:r>
      <w:r w:rsidR="00BE5215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 the Board of Directors, R</w:t>
      </w:r>
      <w:r w:rsidR="00BE5215" w:rsidRPr="00CD35B4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ules and regulations for</w:t>
      </w:r>
      <w:r w:rsidR="00BE5215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 </w:t>
      </w:r>
      <w:r w:rsidR="00BE5215" w:rsidRPr="007D1602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Audit Commission</w:t>
      </w:r>
      <w:r w:rsidR="00BE5215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.</w:t>
      </w:r>
    </w:p>
    <w:p w:rsidR="009078E0" w:rsidRDefault="006642C7" w:rsidP="00664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</w:pPr>
      <w:r w:rsidRPr="006642C7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A decision was made to pay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 </w:t>
      </w:r>
      <w:r w:rsidRPr="006642C7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the additional remuneration to the members of the Board of Directors elected by the Annual General Meeting of Shareholders on 2016.12.16 with the ordinary shares of the JSC OGK-2, being held by the Company, in the total amount of 78</w:t>
      </w:r>
      <w:r w:rsidRPr="006642C7">
        <w:rPr>
          <w:lang w:val="en-US"/>
        </w:rPr>
        <w:t xml:space="preserve"> </w:t>
      </w:r>
      <w:r w:rsidRPr="006642C7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million 941 thousand 511 shares.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 xml:space="preserve"> T</w:t>
      </w:r>
      <w:r w:rsidRPr="006642C7">
        <w:rPr>
          <w:rFonts w:ascii="Tahoma" w:eastAsia="Times New Roman" w:hAnsi="Tahoma" w:cs="Tahoma"/>
          <w:color w:val="000000" w:themeColor="text1"/>
          <w:sz w:val="24"/>
          <w:szCs w:val="24"/>
          <w:lang w:val="en-US" w:eastAsia="ru-RU"/>
        </w:rPr>
        <w:t>he total quantity of the additional remuneration is distributed among the members of the Board of Directors in equal proportions.</w:t>
      </w:r>
    </w:p>
    <w:p w:rsidR="006469C4" w:rsidRPr="001E414C" w:rsidRDefault="006469C4" w:rsidP="00664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ahoma" w:hAnsi="Tahoma" w:cs="Tahoma"/>
          <w:lang w:val="en-US"/>
        </w:rPr>
      </w:pPr>
      <w:bookmarkStart w:id="0" w:name="_GoBack"/>
      <w:bookmarkEnd w:id="0"/>
    </w:p>
    <w:sectPr w:rsidR="006469C4" w:rsidRPr="001E414C" w:rsidSect="00DE099E">
      <w:pgSz w:w="11900" w:h="16840"/>
      <w:pgMar w:top="568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56" w:rsidRDefault="007914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791456" w:rsidRDefault="007914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56" w:rsidRDefault="007914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91456" w:rsidRDefault="007914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791456" w:rsidRDefault="007914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7879"/>
    <w:multiLevelType w:val="multilevel"/>
    <w:tmpl w:val="FE58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317361"/>
    <w:multiLevelType w:val="hybridMultilevel"/>
    <w:tmpl w:val="4738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049BF"/>
    <w:multiLevelType w:val="hybridMultilevel"/>
    <w:tmpl w:val="3FF4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A45DD"/>
    <w:multiLevelType w:val="hybridMultilevel"/>
    <w:tmpl w:val="F3747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437B08"/>
    <w:multiLevelType w:val="hybridMultilevel"/>
    <w:tmpl w:val="66BC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2477"/>
    <w:multiLevelType w:val="hybridMultilevel"/>
    <w:tmpl w:val="411AF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CF2448"/>
    <w:multiLevelType w:val="multilevel"/>
    <w:tmpl w:val="3D6C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C5"/>
    <w:rsid w:val="00000A49"/>
    <w:rsid w:val="00001276"/>
    <w:rsid w:val="00003597"/>
    <w:rsid w:val="00014D31"/>
    <w:rsid w:val="000163BA"/>
    <w:rsid w:val="00016AC0"/>
    <w:rsid w:val="000240F5"/>
    <w:rsid w:val="00030037"/>
    <w:rsid w:val="0003255C"/>
    <w:rsid w:val="00043402"/>
    <w:rsid w:val="000437DC"/>
    <w:rsid w:val="000465FE"/>
    <w:rsid w:val="00061177"/>
    <w:rsid w:val="000627A6"/>
    <w:rsid w:val="000704E0"/>
    <w:rsid w:val="000767E7"/>
    <w:rsid w:val="000A3720"/>
    <w:rsid w:val="000A6E6B"/>
    <w:rsid w:val="000B337F"/>
    <w:rsid w:val="000C4070"/>
    <w:rsid w:val="000E10A7"/>
    <w:rsid w:val="000E49A7"/>
    <w:rsid w:val="000F3928"/>
    <w:rsid w:val="00100A89"/>
    <w:rsid w:val="00104961"/>
    <w:rsid w:val="001129ED"/>
    <w:rsid w:val="001202B4"/>
    <w:rsid w:val="0012457D"/>
    <w:rsid w:val="001270E3"/>
    <w:rsid w:val="00131031"/>
    <w:rsid w:val="001312CC"/>
    <w:rsid w:val="001600AC"/>
    <w:rsid w:val="001634CB"/>
    <w:rsid w:val="0016658E"/>
    <w:rsid w:val="001819E1"/>
    <w:rsid w:val="001822B8"/>
    <w:rsid w:val="00183C4E"/>
    <w:rsid w:val="00195E02"/>
    <w:rsid w:val="001A1653"/>
    <w:rsid w:val="001A5876"/>
    <w:rsid w:val="001A6FA8"/>
    <w:rsid w:val="001C5C9E"/>
    <w:rsid w:val="001C6726"/>
    <w:rsid w:val="001E06B0"/>
    <w:rsid w:val="001E3E89"/>
    <w:rsid w:val="001E414C"/>
    <w:rsid w:val="001F2664"/>
    <w:rsid w:val="002203D6"/>
    <w:rsid w:val="00234E1F"/>
    <w:rsid w:val="00242AB2"/>
    <w:rsid w:val="002447E4"/>
    <w:rsid w:val="00261DD8"/>
    <w:rsid w:val="0027412C"/>
    <w:rsid w:val="0029601D"/>
    <w:rsid w:val="00297BC7"/>
    <w:rsid w:val="002A61D8"/>
    <w:rsid w:val="002B1C22"/>
    <w:rsid w:val="002B2BD8"/>
    <w:rsid w:val="002B329A"/>
    <w:rsid w:val="002B6082"/>
    <w:rsid w:val="002C274C"/>
    <w:rsid w:val="002C78A9"/>
    <w:rsid w:val="002E4C91"/>
    <w:rsid w:val="002F1558"/>
    <w:rsid w:val="00303660"/>
    <w:rsid w:val="003039B1"/>
    <w:rsid w:val="00307F3C"/>
    <w:rsid w:val="003467B2"/>
    <w:rsid w:val="00357591"/>
    <w:rsid w:val="0036443E"/>
    <w:rsid w:val="00395556"/>
    <w:rsid w:val="003B0D1F"/>
    <w:rsid w:val="003E07B5"/>
    <w:rsid w:val="003F0282"/>
    <w:rsid w:val="003F2604"/>
    <w:rsid w:val="00410C35"/>
    <w:rsid w:val="0041716D"/>
    <w:rsid w:val="00424893"/>
    <w:rsid w:val="00433DAE"/>
    <w:rsid w:val="00435E9B"/>
    <w:rsid w:val="0044673B"/>
    <w:rsid w:val="00446D48"/>
    <w:rsid w:val="00456441"/>
    <w:rsid w:val="00457397"/>
    <w:rsid w:val="00494935"/>
    <w:rsid w:val="004B1D86"/>
    <w:rsid w:val="004B318F"/>
    <w:rsid w:val="004B5DB0"/>
    <w:rsid w:val="004C55C9"/>
    <w:rsid w:val="004D4D88"/>
    <w:rsid w:val="004E2F9C"/>
    <w:rsid w:val="004E6D2A"/>
    <w:rsid w:val="005107EC"/>
    <w:rsid w:val="0051177E"/>
    <w:rsid w:val="0053715C"/>
    <w:rsid w:val="00550ABB"/>
    <w:rsid w:val="00552CD3"/>
    <w:rsid w:val="0058695B"/>
    <w:rsid w:val="00595306"/>
    <w:rsid w:val="005A05E9"/>
    <w:rsid w:val="005A0AC4"/>
    <w:rsid w:val="005A3365"/>
    <w:rsid w:val="005A6900"/>
    <w:rsid w:val="005A6C2E"/>
    <w:rsid w:val="005B16F4"/>
    <w:rsid w:val="005B1FEE"/>
    <w:rsid w:val="005C3F90"/>
    <w:rsid w:val="005D36BB"/>
    <w:rsid w:val="005E6464"/>
    <w:rsid w:val="005E6C8C"/>
    <w:rsid w:val="005F20F4"/>
    <w:rsid w:val="005F3A53"/>
    <w:rsid w:val="006049B7"/>
    <w:rsid w:val="006354DB"/>
    <w:rsid w:val="00637C01"/>
    <w:rsid w:val="00645656"/>
    <w:rsid w:val="006469C4"/>
    <w:rsid w:val="006521F8"/>
    <w:rsid w:val="006528AD"/>
    <w:rsid w:val="0065729B"/>
    <w:rsid w:val="00657641"/>
    <w:rsid w:val="006642C7"/>
    <w:rsid w:val="006647C3"/>
    <w:rsid w:val="00665FC0"/>
    <w:rsid w:val="0068113E"/>
    <w:rsid w:val="0068377B"/>
    <w:rsid w:val="00693C8B"/>
    <w:rsid w:val="00695B00"/>
    <w:rsid w:val="00696002"/>
    <w:rsid w:val="006B1298"/>
    <w:rsid w:val="006C0C96"/>
    <w:rsid w:val="006C148F"/>
    <w:rsid w:val="006D08D0"/>
    <w:rsid w:val="006E3982"/>
    <w:rsid w:val="006E51DD"/>
    <w:rsid w:val="006E6FFA"/>
    <w:rsid w:val="007129B5"/>
    <w:rsid w:val="00724A36"/>
    <w:rsid w:val="00725DA6"/>
    <w:rsid w:val="007519BF"/>
    <w:rsid w:val="00761BAB"/>
    <w:rsid w:val="00767289"/>
    <w:rsid w:val="00770D07"/>
    <w:rsid w:val="00776F69"/>
    <w:rsid w:val="00785452"/>
    <w:rsid w:val="00787B24"/>
    <w:rsid w:val="00787BAC"/>
    <w:rsid w:val="00791456"/>
    <w:rsid w:val="00792474"/>
    <w:rsid w:val="007926E0"/>
    <w:rsid w:val="007C4892"/>
    <w:rsid w:val="007D1602"/>
    <w:rsid w:val="007D6AB0"/>
    <w:rsid w:val="007E4CF8"/>
    <w:rsid w:val="007E6356"/>
    <w:rsid w:val="007F46C4"/>
    <w:rsid w:val="007F6CC9"/>
    <w:rsid w:val="00803852"/>
    <w:rsid w:val="00803AD3"/>
    <w:rsid w:val="0082626E"/>
    <w:rsid w:val="0084598C"/>
    <w:rsid w:val="00871342"/>
    <w:rsid w:val="008A1DD2"/>
    <w:rsid w:val="008A2E71"/>
    <w:rsid w:val="008C2D78"/>
    <w:rsid w:val="008E2A0C"/>
    <w:rsid w:val="008E4548"/>
    <w:rsid w:val="008E70C0"/>
    <w:rsid w:val="00904EFB"/>
    <w:rsid w:val="009078E0"/>
    <w:rsid w:val="00912088"/>
    <w:rsid w:val="0091631E"/>
    <w:rsid w:val="00923682"/>
    <w:rsid w:val="00925AE3"/>
    <w:rsid w:val="00937442"/>
    <w:rsid w:val="0094105D"/>
    <w:rsid w:val="0095471E"/>
    <w:rsid w:val="0097298E"/>
    <w:rsid w:val="00974393"/>
    <w:rsid w:val="009A1299"/>
    <w:rsid w:val="009A1F92"/>
    <w:rsid w:val="009A27C5"/>
    <w:rsid w:val="009B3D1F"/>
    <w:rsid w:val="009B412D"/>
    <w:rsid w:val="009C60A5"/>
    <w:rsid w:val="009D09F2"/>
    <w:rsid w:val="009D188C"/>
    <w:rsid w:val="00A01BC2"/>
    <w:rsid w:val="00A04673"/>
    <w:rsid w:val="00A11441"/>
    <w:rsid w:val="00A30736"/>
    <w:rsid w:val="00A42A64"/>
    <w:rsid w:val="00A433CC"/>
    <w:rsid w:val="00A51D99"/>
    <w:rsid w:val="00A67617"/>
    <w:rsid w:val="00A73DAB"/>
    <w:rsid w:val="00A76D6F"/>
    <w:rsid w:val="00A9295C"/>
    <w:rsid w:val="00A94EA1"/>
    <w:rsid w:val="00AA12EF"/>
    <w:rsid w:val="00AA533A"/>
    <w:rsid w:val="00AB425E"/>
    <w:rsid w:val="00AE56DF"/>
    <w:rsid w:val="00AF2F83"/>
    <w:rsid w:val="00B102AB"/>
    <w:rsid w:val="00B30285"/>
    <w:rsid w:val="00B4334B"/>
    <w:rsid w:val="00B43DFC"/>
    <w:rsid w:val="00B479F8"/>
    <w:rsid w:val="00B51655"/>
    <w:rsid w:val="00B6287E"/>
    <w:rsid w:val="00B6498E"/>
    <w:rsid w:val="00B76A5C"/>
    <w:rsid w:val="00B841C8"/>
    <w:rsid w:val="00B8586D"/>
    <w:rsid w:val="00B873AA"/>
    <w:rsid w:val="00B87460"/>
    <w:rsid w:val="00B9310F"/>
    <w:rsid w:val="00BA4309"/>
    <w:rsid w:val="00BB62AE"/>
    <w:rsid w:val="00BB6E16"/>
    <w:rsid w:val="00BE5215"/>
    <w:rsid w:val="00BF05CC"/>
    <w:rsid w:val="00BF2AF8"/>
    <w:rsid w:val="00BF2DDA"/>
    <w:rsid w:val="00C20B68"/>
    <w:rsid w:val="00C23587"/>
    <w:rsid w:val="00C26FE1"/>
    <w:rsid w:val="00C42697"/>
    <w:rsid w:val="00C602F3"/>
    <w:rsid w:val="00C67236"/>
    <w:rsid w:val="00C75AB1"/>
    <w:rsid w:val="00C77397"/>
    <w:rsid w:val="00C8260E"/>
    <w:rsid w:val="00C950FF"/>
    <w:rsid w:val="00CA0463"/>
    <w:rsid w:val="00CA1E95"/>
    <w:rsid w:val="00CA2779"/>
    <w:rsid w:val="00CA6036"/>
    <w:rsid w:val="00CB2122"/>
    <w:rsid w:val="00CD35B4"/>
    <w:rsid w:val="00CE0397"/>
    <w:rsid w:val="00CE186C"/>
    <w:rsid w:val="00CF5DC4"/>
    <w:rsid w:val="00D12777"/>
    <w:rsid w:val="00D211D6"/>
    <w:rsid w:val="00D23B82"/>
    <w:rsid w:val="00D64E93"/>
    <w:rsid w:val="00D702A9"/>
    <w:rsid w:val="00D74A9D"/>
    <w:rsid w:val="00D86729"/>
    <w:rsid w:val="00D91D06"/>
    <w:rsid w:val="00D92555"/>
    <w:rsid w:val="00DA04ED"/>
    <w:rsid w:val="00DC79DA"/>
    <w:rsid w:val="00DE099E"/>
    <w:rsid w:val="00DE26D8"/>
    <w:rsid w:val="00E0325D"/>
    <w:rsid w:val="00E12732"/>
    <w:rsid w:val="00E15E54"/>
    <w:rsid w:val="00E37DBB"/>
    <w:rsid w:val="00E467E1"/>
    <w:rsid w:val="00E57351"/>
    <w:rsid w:val="00E62009"/>
    <w:rsid w:val="00E63313"/>
    <w:rsid w:val="00E71600"/>
    <w:rsid w:val="00E873CA"/>
    <w:rsid w:val="00EB2B59"/>
    <w:rsid w:val="00EB5F02"/>
    <w:rsid w:val="00EC3BA8"/>
    <w:rsid w:val="00EC688C"/>
    <w:rsid w:val="00ED2B59"/>
    <w:rsid w:val="00ED5747"/>
    <w:rsid w:val="00EE7CC8"/>
    <w:rsid w:val="00EF23F5"/>
    <w:rsid w:val="00F04F17"/>
    <w:rsid w:val="00F054DD"/>
    <w:rsid w:val="00F07AA5"/>
    <w:rsid w:val="00F176C0"/>
    <w:rsid w:val="00F2198D"/>
    <w:rsid w:val="00F421F3"/>
    <w:rsid w:val="00F4752F"/>
    <w:rsid w:val="00F51A59"/>
    <w:rsid w:val="00F6672E"/>
    <w:rsid w:val="00F6699C"/>
    <w:rsid w:val="00F7042D"/>
    <w:rsid w:val="00F72381"/>
    <w:rsid w:val="00F80586"/>
    <w:rsid w:val="00F8771A"/>
    <w:rsid w:val="00F87CC7"/>
    <w:rsid w:val="00FC66F0"/>
    <w:rsid w:val="00FD027F"/>
    <w:rsid w:val="00FE0DDC"/>
    <w:rsid w:val="00FE5F6E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eastAsia="en-US"/>
    </w:rPr>
  </w:style>
  <w:style w:type="paragraph" w:styleId="3">
    <w:name w:val="heading 3"/>
    <w:basedOn w:val="a"/>
    <w:link w:val="30"/>
    <w:uiPriority w:val="9"/>
    <w:qFormat/>
    <w:locked/>
    <w:rsid w:val="009D18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300" w:after="300" w:line="240" w:lineRule="auto"/>
      <w:outlineLvl w:val="2"/>
    </w:pPr>
    <w:rPr>
      <w:rFonts w:ascii="inherit" w:eastAsia="Times New Roman" w:hAnsi="inherit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B329A"/>
    <w:rPr>
      <w:rFonts w:ascii="Tahoma" w:eastAsia="Times New Roman" w:hAnsi="Tahoma" w:cs="Tahoma"/>
      <w:color w:val="000000"/>
      <w:sz w:val="16"/>
      <w:szCs w:val="16"/>
      <w:u w:color="000000"/>
      <w:lang w:eastAsia="en-US"/>
    </w:rPr>
  </w:style>
  <w:style w:type="character" w:styleId="a5">
    <w:name w:val="Hyperlink"/>
    <w:uiPriority w:val="99"/>
    <w:rsid w:val="00696002"/>
    <w:rPr>
      <w:rFonts w:cs="Times New Roman"/>
      <w:u w:val="single"/>
    </w:rPr>
  </w:style>
  <w:style w:type="table" w:customStyle="1" w:styleId="TableNormal1">
    <w:name w:val="Table Normal1"/>
    <w:uiPriority w:val="99"/>
    <w:rsid w:val="006960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Верхн./нижн. кол."/>
    <w:uiPriority w:val="99"/>
    <w:rsid w:val="006960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696002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Нижний колонтитул Знак"/>
    <w:link w:val="a7"/>
    <w:uiPriority w:val="99"/>
    <w:semiHidden/>
    <w:rsid w:val="00371CD2"/>
    <w:rPr>
      <w:rFonts w:ascii="Calibri" w:hAnsi="Calibri" w:cs="Calibri"/>
      <w:color w:val="000000"/>
      <w:u w:color="000000"/>
      <w:lang w:eastAsia="en-US"/>
    </w:rPr>
  </w:style>
  <w:style w:type="paragraph" w:styleId="a9">
    <w:name w:val="header"/>
    <w:basedOn w:val="a"/>
    <w:link w:val="aa"/>
    <w:uiPriority w:val="99"/>
    <w:rsid w:val="0069600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C8260E"/>
    <w:rPr>
      <w:rFonts w:eastAsia="Times New Roman" w:cs="Times New Roman"/>
      <w:color w:val="000000"/>
      <w:sz w:val="24"/>
      <w:szCs w:val="24"/>
      <w:u w:color="000000"/>
      <w:lang w:val="ru-RU" w:eastAsia="ru-RU" w:bidi="ar-SA"/>
    </w:rPr>
  </w:style>
  <w:style w:type="paragraph" w:styleId="ab">
    <w:name w:val="Normal (Web)"/>
    <w:basedOn w:val="a"/>
    <w:uiPriority w:val="99"/>
    <w:rsid w:val="00696002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96002"/>
    <w:pPr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rsid w:val="00371CD2"/>
    <w:rPr>
      <w:rFonts w:ascii="Calibri" w:hAnsi="Calibri" w:cs="Calibri"/>
      <w:color w:val="000000"/>
      <w:sz w:val="20"/>
      <w:szCs w:val="20"/>
      <w:u w:color="000000"/>
      <w:lang w:eastAsia="en-US"/>
    </w:rPr>
  </w:style>
  <w:style w:type="character" w:customStyle="1" w:styleId="ae">
    <w:name w:val="Нет"/>
    <w:uiPriority w:val="99"/>
    <w:rsid w:val="00696002"/>
  </w:style>
  <w:style w:type="character" w:customStyle="1" w:styleId="Hyperlink0">
    <w:name w:val="Hyperlink.0"/>
    <w:uiPriority w:val="99"/>
    <w:rsid w:val="00696002"/>
    <w:rPr>
      <w:rFonts w:ascii="Tahoma" w:eastAsia="Times New Roman" w:hAnsi="Tahoma" w:cs="Tahoma"/>
      <w:color w:val="000000"/>
      <w:sz w:val="24"/>
      <w:szCs w:val="24"/>
      <w:u w:color="000000"/>
      <w:lang w:val="ru-RU"/>
    </w:rPr>
  </w:style>
  <w:style w:type="paragraph" w:styleId="af">
    <w:name w:val="List Paragraph"/>
    <w:basedOn w:val="a"/>
    <w:uiPriority w:val="99"/>
    <w:qFormat/>
    <w:rsid w:val="00767289"/>
    <w:pPr>
      <w:ind w:left="720"/>
      <w:contextualSpacing/>
    </w:pPr>
  </w:style>
  <w:style w:type="character" w:styleId="af0">
    <w:name w:val="annotation reference"/>
    <w:uiPriority w:val="99"/>
    <w:semiHidden/>
    <w:rsid w:val="00792474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9247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92474"/>
    <w:rPr>
      <w:rFonts w:ascii="Calibri" w:eastAsia="Times New Roman" w:hAnsi="Calibri" w:cs="Calibri"/>
      <w:color w:val="000000"/>
      <w:u w:color="00000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rsid w:val="00792474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92474"/>
    <w:rPr>
      <w:rFonts w:ascii="Calibri" w:eastAsia="Times New Roman" w:hAnsi="Calibri" w:cs="Calibri"/>
      <w:b/>
      <w:bCs/>
      <w:color w:val="000000"/>
      <w:u w:color="000000"/>
      <w:lang w:eastAsia="en-US"/>
    </w:rPr>
  </w:style>
  <w:style w:type="paragraph" w:styleId="af5">
    <w:name w:val="Revision"/>
    <w:hidden/>
    <w:uiPriority w:val="99"/>
    <w:semiHidden/>
    <w:rsid w:val="00CA0463"/>
    <w:rPr>
      <w:rFonts w:ascii="Calibri" w:hAnsi="Calibri" w:cs="Calibri"/>
      <w:color w:val="000000"/>
      <w:sz w:val="22"/>
      <w:szCs w:val="22"/>
      <w:u w:color="000000"/>
      <w:lang w:eastAsia="en-US"/>
    </w:rPr>
  </w:style>
  <w:style w:type="paragraph" w:styleId="af6">
    <w:name w:val="Plain Text"/>
    <w:basedOn w:val="a"/>
    <w:link w:val="af7"/>
    <w:uiPriority w:val="99"/>
    <w:semiHidden/>
    <w:unhideWhenUsed/>
    <w:rsid w:val="006576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65764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D188C"/>
    <w:rPr>
      <w:rFonts w:ascii="inherit" w:eastAsia="Times New Roman" w:hAnsi="inherit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2AB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6454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469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481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2016-06-08T12:17:00Z</dcterms:created>
  <dcterms:modified xsi:type="dcterms:W3CDTF">2017-06-06T06:51:00Z</dcterms:modified>
</cp:coreProperties>
</file>