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left="5387"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</w:r>
      <w:r>
        <w:rPr>
          <w:rFonts w:ascii="Times New Roman" w:hAnsi="Times New Roman" w:cs="Times New Roman"/>
          <w:b/>
          <w:sz w:val="22"/>
          <w:szCs w:val="24"/>
        </w:rPr>
      </w:r>
    </w:p>
    <w:p>
      <w:pPr>
        <w:pStyle w:val="857"/>
        <w:ind w:left="4962" w:firstLine="0"/>
        <w:jc w:val="center"/>
        <w:rPr>
          <w:rFonts w:ascii="Times New Roman" w:hAnsi="Times New Roman" w:cs="Times New Roman"/>
          <w:spacing w:val="-4"/>
          <w:sz w:val="22"/>
          <w:szCs w:val="24"/>
        </w:rPr>
      </w:pPr>
      <w:r>
        <w:rPr>
          <w:rFonts w:ascii="Times New Roman" w:hAnsi="Times New Roman" w:cs="Times New Roman"/>
          <w:spacing w:val="-4"/>
          <w:sz w:val="22"/>
          <w:szCs w:val="24"/>
        </w:rPr>
        <w:t xml:space="preserve">УТВЕРЖДЕНО</w:t>
      </w:r>
      <w:r>
        <w:rPr>
          <w:rFonts w:ascii="Times New Roman" w:hAnsi="Times New Roman" w:cs="Times New Roman"/>
          <w:spacing w:val="-4"/>
          <w:sz w:val="22"/>
          <w:szCs w:val="24"/>
        </w:rPr>
      </w:r>
    </w:p>
    <w:p>
      <w:pPr>
        <w:pStyle w:val="857"/>
        <w:ind w:left="4962" w:firstLine="0"/>
        <w:jc w:val="both"/>
        <w:rPr>
          <w:rFonts w:ascii="Times New Roman" w:hAnsi="Times New Roman" w:cs="Times New Roman"/>
          <w:spacing w:val="-4"/>
          <w:sz w:val="22"/>
          <w:szCs w:val="24"/>
        </w:rPr>
      </w:pPr>
      <w:r>
        <w:rPr>
          <w:rFonts w:ascii="Times New Roman" w:hAnsi="Times New Roman" w:cs="Times New Roman"/>
          <w:spacing w:val="-4"/>
          <w:sz w:val="22"/>
          <w:szCs w:val="24"/>
        </w:rPr>
        <w:t xml:space="preserve">          решением Совета директоров ПАО «ОГК-2»</w:t>
      </w:r>
      <w:r>
        <w:rPr>
          <w:rFonts w:ascii="Times New Roman" w:hAnsi="Times New Roman" w:cs="Times New Roman"/>
          <w:spacing w:val="-4"/>
          <w:sz w:val="22"/>
          <w:szCs w:val="24"/>
        </w:rPr>
      </w:r>
    </w:p>
    <w:p>
      <w:pPr>
        <w:pStyle w:val="857"/>
        <w:ind w:left="4962" w:firstLine="0"/>
        <w:jc w:val="both"/>
        <w:rPr>
          <w:rFonts w:ascii="Times New Roman" w:hAnsi="Times New Roman" w:cs="Times New Roman"/>
          <w:spacing w:val="-4"/>
          <w:sz w:val="22"/>
          <w:szCs w:val="24"/>
        </w:rPr>
      </w:pPr>
      <w:r>
        <w:rPr>
          <w:rFonts w:ascii="Times New Roman" w:hAnsi="Times New Roman" w:cs="Times New Roman"/>
          <w:spacing w:val="-4"/>
          <w:sz w:val="22"/>
          <w:szCs w:val="24"/>
        </w:rPr>
        <w:t xml:space="preserve">               от «21» января 202</w:t>
      </w:r>
      <w:r>
        <w:rPr>
          <w:rFonts w:ascii="Times New Roman" w:hAnsi="Times New Roman" w:cs="Times New Roman"/>
          <w:spacing w:val="-4"/>
          <w:sz w:val="22"/>
          <w:szCs w:val="24"/>
        </w:rPr>
        <w:t xml:space="preserve">6</w:t>
      </w:r>
      <w:r>
        <w:rPr>
          <w:rFonts w:ascii="Times New Roman" w:hAnsi="Times New Roman" w:cs="Times New Roman"/>
          <w:spacing w:val="-4"/>
          <w:sz w:val="22"/>
          <w:szCs w:val="24"/>
        </w:rPr>
        <w:t xml:space="preserve"> г., протокол № 370</w:t>
      </w:r>
      <w:r>
        <w:rPr>
          <w:rFonts w:ascii="Times New Roman" w:hAnsi="Times New Roman" w:cs="Times New Roman"/>
          <w:spacing w:val="-4"/>
          <w:sz w:val="22"/>
          <w:szCs w:val="24"/>
        </w:rPr>
      </w:r>
    </w:p>
    <w:p>
      <w:pPr>
        <w:pStyle w:val="857"/>
        <w:ind w:left="5387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2"/>
          <w:szCs w:val="24"/>
        </w:rPr>
      </w:r>
    </w:p>
    <w:p>
      <w:pPr>
        <w:pStyle w:val="857"/>
        <w:ind w:left="5387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</w:r>
      <w:r>
        <w:rPr>
          <w:rFonts w:ascii="Times New Roman" w:hAnsi="Times New Roman" w:cs="Times New Roman"/>
          <w:b/>
          <w:sz w:val="22"/>
          <w:szCs w:val="24"/>
        </w:rPr>
      </w:r>
    </w:p>
    <w:p>
      <w:pPr>
        <w:pStyle w:val="857"/>
        <w:ind w:left="5387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Приложение № 1</w:t>
      </w:r>
      <w:r>
        <w:rPr>
          <w:rFonts w:ascii="Times New Roman" w:hAnsi="Times New Roman" w:cs="Times New Roman"/>
          <w:b/>
          <w:sz w:val="22"/>
          <w:szCs w:val="24"/>
        </w:rPr>
      </w:r>
    </w:p>
    <w:p>
      <w:pPr>
        <w:pStyle w:val="857"/>
        <w:ind w:left="5387" w:firstLine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к Положению о контроле за соблюдением требований </w:t>
      </w:r>
      <w:r>
        <w:rPr>
          <w:rFonts w:ascii="Times New Roman" w:hAnsi="Times New Roman" w:cs="Times New Roman"/>
          <w:spacing w:val="-2"/>
          <w:sz w:val="22"/>
          <w:szCs w:val="24"/>
        </w:rPr>
        <w:t xml:space="preserve">законодательства в сфере противодействия неправомерному использованию инсайдерской информации</w:t>
      </w:r>
      <w:r>
        <w:rPr>
          <w:rFonts w:ascii="Times New Roman" w:hAnsi="Times New Roman" w:cs="Times New Roman"/>
          <w:sz w:val="22"/>
          <w:szCs w:val="24"/>
        </w:rPr>
        <w:t xml:space="preserve"> и манипулированию рынком</w:t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857"/>
        <w:ind w:firstLine="0"/>
        <w:jc w:val="center"/>
        <w:spacing w:before="360"/>
        <w:rPr>
          <w:rFonts w:ascii="Times New Roman" w:hAnsi="Times New Roman" w:cs="Times New Roman"/>
          <w:b/>
          <w:sz w:val="26"/>
          <w:szCs w:val="26"/>
        </w:rPr>
      </w:pPr>
      <w:r/>
      <w:bookmarkStart w:id="1" w:name="P26"/>
      <w:r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УСЛОВИЯ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СОВЕРШЕНИЯ ОПЕРАЦИЙ С ФИНАНСОВЫМИ ИНСТРУМЕНТАМИ ЛИЦАМИ, ВКЛЮЧЕННЫМИ В СПИСОК ИНСАЙДЕРОВ ПАО «ОГК-2»,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СВЯЗАННЫМИ С НИМИ ЛИЦАМИ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условия (далее - Условия) разработаны во исполнение Федерального закона от 27 июля 2010 г. №224-ФЗ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ные акты Российской Федерации» (далее - Федеральный Закон) в целях предотвращения злоупотреблений на организованных торгах в форме неправомерного использования инсайдерской информации и (или) манипулирования рынком с финансовыми инструментами ПАО «ОГК-2» (</w:t>
      </w:r>
      <w:r>
        <w:rPr>
          <w:rFonts w:ascii="Times New Roman" w:hAnsi="Times New Roman" w:cs="Times New Roman"/>
          <w:sz w:val="24"/>
          <w:szCs w:val="24"/>
        </w:rPr>
        <w:t xml:space="preserve">далее - Общество).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Условиями в соответствии с Федеральным Законом устанавливаются ограничения и (или) запреты на совершение операций с финансовыми инструментами Общества следующими категориями инсайдеров Общества, указанными в пунктах 7 и 13 статьи 4 За</w:t>
      </w:r>
      <w:r>
        <w:rPr>
          <w:rFonts w:ascii="Times New Roman" w:hAnsi="Times New Roman" w:cs="Times New Roman"/>
          <w:sz w:val="24"/>
          <w:szCs w:val="24"/>
        </w:rPr>
        <w:t xml:space="preserve">кона (далее - Инсайдеры), и связанными с ними лицами: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4"/>
        <w:numPr>
          <w:ilvl w:val="0"/>
          <w:numId w:val="1"/>
        </w:numPr>
        <w:ind w:left="0" w:firstLine="709"/>
        <w:widowControl w:val="off"/>
        <w:tabs>
          <w:tab w:val="num" w:pos="142" w:leader="none"/>
          <w:tab w:val="left" w:pos="993" w:leader="none"/>
          <w:tab w:val="clear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члены Совета директоров Общества;</w:t>
      </w:r>
      <w:r>
        <w:rPr>
          <w:sz w:val="24"/>
          <w:szCs w:val="24"/>
        </w:rPr>
      </w:r>
    </w:p>
    <w:p>
      <w:pPr>
        <w:pStyle w:val="864"/>
        <w:numPr>
          <w:ilvl w:val="0"/>
          <w:numId w:val="1"/>
        </w:numPr>
        <w:ind w:left="0" w:firstLine="709"/>
        <w:widowControl w:val="off"/>
        <w:tabs>
          <w:tab w:val="num" w:pos="142" w:leader="none"/>
          <w:tab w:val="left" w:pos="993" w:leader="none"/>
          <w:tab w:val="clear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единоличный исполнительный орган Общества (в том числе управляющая организация, управляющий либо временный единоличный исполнительный орган);</w:t>
      </w:r>
      <w:r>
        <w:rPr>
          <w:sz w:val="24"/>
          <w:szCs w:val="24"/>
        </w:rPr>
      </w:r>
    </w:p>
    <w:p>
      <w:pPr>
        <w:pStyle w:val="864"/>
        <w:numPr>
          <w:ilvl w:val="0"/>
          <w:numId w:val="1"/>
        </w:numPr>
        <w:ind w:left="0" w:firstLine="709"/>
        <w:widowControl w:val="off"/>
        <w:tabs>
          <w:tab w:val="num" w:pos="142" w:leader="none"/>
          <w:tab w:val="left" w:pos="993" w:leader="none"/>
          <w:tab w:val="clear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физические лица, имеющие </w:t>
      </w:r>
      <w:r>
        <w:rPr>
          <w:sz w:val="24"/>
          <w:szCs w:val="24"/>
        </w:rPr>
        <w:t xml:space="preserve">доступ к инсайдерской информации Общества на основании трудовых и (или) гражданско-правовых договоров;</w:t>
      </w:r>
      <w:r>
        <w:rPr>
          <w:sz w:val="24"/>
          <w:szCs w:val="24"/>
        </w:rPr>
      </w:r>
    </w:p>
    <w:p>
      <w:pPr>
        <w:pStyle w:val="864"/>
        <w:numPr>
          <w:ilvl w:val="0"/>
          <w:numId w:val="1"/>
        </w:numPr>
        <w:ind w:left="0" w:firstLine="709"/>
        <w:widowControl w:val="off"/>
        <w:tabs>
          <w:tab w:val="num" w:pos="142" w:leader="none"/>
          <w:tab w:val="left" w:pos="993" w:leader="none"/>
          <w:tab w:val="clear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единоличный исполнительный орган, члены иных органов управления управляющей организации.</w:t>
      </w:r>
      <w:r>
        <w:rPr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Инсайдерам и связанным с ними лицами запрещается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операции с финансовыми инструментами Общества с использованием инсайдерской информации Общества.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рамках установления ограничений для совершения операций с финансовыми инструментами Общества Инсайдерами и связанными с ними лицами в Обществе устанавлив</w:t>
      </w:r>
      <w:r>
        <w:rPr>
          <w:rFonts w:ascii="Times New Roman" w:hAnsi="Times New Roman" w:cs="Times New Roman"/>
          <w:sz w:val="24"/>
          <w:szCs w:val="24"/>
        </w:rPr>
        <w:t xml:space="preserve">аются «закрытые периоды», в течение которых Инсайдеры Общества и связанные с ними лица должны воздерживаться от совершения любых операций с финансовыми инструментами Общества: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Период с 15 февраля до истечения 80 дней после окончания предшествующего ка</w:t>
      </w:r>
      <w:r>
        <w:rPr>
          <w:rFonts w:ascii="Times New Roman" w:hAnsi="Times New Roman" w:cs="Times New Roman"/>
          <w:sz w:val="24"/>
          <w:szCs w:val="24"/>
        </w:rPr>
        <w:t xml:space="preserve">лендарного года</w:t>
      </w:r>
      <w:r>
        <w:rPr>
          <w:rStyle w:val="86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Периоды с 20 апреля, 20 июля, 20 октября до истечения 50 дней после окончания первого, второго, третьего квартала текущего календарного года соответственно</w:t>
      </w:r>
      <w:r>
        <w:rPr>
          <w:rStyle w:val="86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</w:t>
      </w:r>
      <w:r>
        <w:rPr>
          <w:rFonts w:ascii="Times New Roman" w:hAnsi="Times New Roman" w:cs="Times New Roman"/>
          <w:sz w:val="24"/>
          <w:szCs w:val="24"/>
        </w:rPr>
        <w:t xml:space="preserve">. Период продолжительностью тридцать календарных дней с даты совершения Инсайдером Общества и (или) связанными с ним лицами сделки с финансовыми инструментами Общества в собственных интересах, в течение которого Инсайдеры </w:t>
      </w:r>
      <w:r>
        <w:rPr>
          <w:rFonts w:ascii="Times New Roman" w:hAnsi="Times New Roman" w:cs="Times New Roman"/>
          <w:sz w:val="24"/>
          <w:szCs w:val="24"/>
        </w:rPr>
        <w:t xml:space="preserve">Общества и связанные с ними лица д</w:t>
      </w:r>
      <w:r>
        <w:rPr>
          <w:rFonts w:ascii="Times New Roman" w:hAnsi="Times New Roman" w:cs="Times New Roman"/>
          <w:sz w:val="24"/>
          <w:szCs w:val="24"/>
        </w:rPr>
        <w:t xml:space="preserve">олжны воздерживаться от совершения противоположных операций по отношению к данным сделкам. Противоположными операциями являются сделки, прямо или косвенно приводящие к закрытию и (или) хеджированию открытой ранее позиции.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Период с даты созыва заседани</w:t>
      </w:r>
      <w:r>
        <w:rPr>
          <w:rFonts w:ascii="Times New Roman" w:hAnsi="Times New Roman" w:cs="Times New Roman"/>
          <w:sz w:val="24"/>
          <w:szCs w:val="24"/>
        </w:rPr>
        <w:t xml:space="preserve">я Совета директоров Общества, в повестку дня которого включены вопросы, связанные с выкупом акций Общества, изменением уставного капитала Общества, одобрением крупных сделок, выплатой дивидендов, до истечения 30 дней, если информация не была раскрыта раньш</w:t>
      </w:r>
      <w:r>
        <w:rPr>
          <w:rFonts w:ascii="Times New Roman" w:hAnsi="Times New Roman" w:cs="Times New Roman"/>
          <w:sz w:val="24"/>
          <w:szCs w:val="24"/>
        </w:rPr>
        <w:t xml:space="preserve">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Структурное подразделение Общества, осуществляющее контроль за соблюдением требований законодательства в сфере противодействия неправомерному использованию инсайдерской информации и манипулированию рынком (далее - Контрольное подразделение), может ре</w:t>
      </w:r>
      <w:r>
        <w:rPr>
          <w:rFonts w:ascii="Times New Roman" w:hAnsi="Times New Roman" w:cs="Times New Roman"/>
          <w:sz w:val="24"/>
          <w:szCs w:val="24"/>
        </w:rPr>
        <w:t xml:space="preserve">комендовать Инсайдерам Общества и связанным с ними лицами воздерживаться от совершения операций с финансовыми инструментами Общества в течение иных периодов, помимо определенных Условиями.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Соответствующие рекомендации могут доводиться до сведения Инсайдеро</w:t>
      </w:r>
      <w:r>
        <w:rPr>
          <w:rFonts w:ascii="Times New Roman" w:hAnsi="Times New Roman" w:cs="Times New Roman"/>
          <w:sz w:val="24"/>
          <w:szCs w:val="24"/>
        </w:rPr>
        <w:t xml:space="preserve">в Общества и связанных с ними лиц с помощью почтовых отправлений, а также путем размещения на официальном сайте Общества в сети Интернет.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7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В целях исключения риска совершения операций с финансовыми инструментами Общества в «закрытые периоды» Инсайдерам О</w:t>
      </w:r>
      <w:r>
        <w:rPr>
          <w:rFonts w:ascii="Times New Roman" w:hAnsi="Times New Roman" w:cs="Times New Roman"/>
          <w:sz w:val="24"/>
          <w:szCs w:val="24"/>
        </w:rPr>
        <w:t xml:space="preserve">бщества и связанным с ними лицам рекомендуется до момента совершения указанных операций обращаться за консультациями в Контрольное подразделение.</w:t>
      </w:r>
      <w:r/>
    </w:p>
    <w:p>
      <w:pPr>
        <w:pStyle w:val="857"/>
        <w:ind w:firstLine="709"/>
        <w:jc w:val="both"/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568" w:right="991" w:bottom="568" w:left="1418" w:header="709" w:footer="3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8"/>
        <w:jc w:val="both"/>
        <w:rPr>
          <w:lang w:val="ru-RU"/>
        </w:rPr>
      </w:pPr>
      <w:r>
        <w:rPr>
          <w:rStyle w:val="860"/>
        </w:rPr>
        <w:footnoteRef/>
      </w:r>
      <w:r>
        <w:rPr>
          <w:rStyle w:val="860"/>
          <w:lang w:val="ru-RU"/>
        </w:rPr>
        <w:t xml:space="preserve">, 2</w:t>
      </w:r>
      <w:r>
        <w:rPr>
          <w:lang w:val="ru-RU"/>
        </w:rPr>
        <w:t xml:space="preserve"> В </w:t>
      </w:r>
      <w:r>
        <w:rPr>
          <w:sz w:val="23"/>
          <w:szCs w:val="23"/>
          <w:lang w:val="ru-RU"/>
        </w:rPr>
        <w:t xml:space="preserve">случае если последний день</w:t>
      </w:r>
      <w:r>
        <w:rPr>
          <w:sz w:val="23"/>
          <w:szCs w:val="23"/>
          <w:lang w:val="ru-RU"/>
        </w:rPr>
        <w:t xml:space="preserve"> срока «закрытого периода» приходится на день, приз</w:t>
      </w:r>
      <w:r>
        <w:rPr>
          <w:sz w:val="22"/>
          <w:szCs w:val="23"/>
          <w:lang w:val="ru-RU"/>
        </w:rPr>
        <w:t xml:space="preserve">наваемый в соответствии с законодательством Российской Федерации выходным или нерабочим праздничным днем, последним днем срока «закрытого периода» считается первый, следующий за выходным или нерабочим праз</w:t>
      </w:r>
      <w:r>
        <w:rPr>
          <w:sz w:val="22"/>
          <w:szCs w:val="23"/>
          <w:lang w:val="ru-RU"/>
        </w:rPr>
        <w:t xml:space="preserve">дничным днем, рабочий день.</w:t>
      </w:r>
      <w:r>
        <w:rPr>
          <w:lang w:val="ru-RU"/>
        </w:rPr>
      </w:r>
    </w:p>
  </w:footnote>
  <w:footnote w:id="3">
    <w:p>
      <w:pPr>
        <w:pStyle w:val="858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29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9"/>
    <w:link w:val="703"/>
    <w:uiPriority w:val="10"/>
    <w:rPr>
      <w:sz w:val="48"/>
      <w:szCs w:val="48"/>
    </w:rPr>
  </w:style>
  <w:style w:type="character" w:styleId="37">
    <w:name w:val="Subtitle Char"/>
    <w:basedOn w:val="689"/>
    <w:link w:val="705"/>
    <w:uiPriority w:val="11"/>
    <w:rPr>
      <w:sz w:val="24"/>
      <w:szCs w:val="24"/>
    </w:rPr>
  </w:style>
  <w:style w:type="character" w:styleId="39">
    <w:name w:val="Quote Char"/>
    <w:link w:val="707"/>
    <w:uiPriority w:val="29"/>
    <w:rPr>
      <w:i/>
    </w:rPr>
  </w:style>
  <w:style w:type="character" w:styleId="41">
    <w:name w:val="Intense Quote Char"/>
    <w:link w:val="709"/>
    <w:uiPriority w:val="30"/>
    <w:rPr>
      <w:i/>
    </w:rPr>
  </w:style>
  <w:style w:type="character" w:styleId="47">
    <w:name w:val="Caption Char"/>
    <w:basedOn w:val="689"/>
    <w:link w:val="713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843"/>
    <w:uiPriority w:val="99"/>
    <w:rPr>
      <w:sz w:val="20"/>
    </w:rPr>
  </w:style>
  <w:style w:type="paragraph" w:styleId="679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9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after="0" w:line="240" w:lineRule="auto"/>
    </w:pPr>
  </w:style>
  <w:style w:type="paragraph" w:styleId="703">
    <w:name w:val="Title"/>
    <w:basedOn w:val="679"/>
    <w:next w:val="679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Заголовок Знак"/>
    <w:basedOn w:val="689"/>
    <w:link w:val="703"/>
    <w:uiPriority w:val="10"/>
    <w:rPr>
      <w:sz w:val="48"/>
      <w:szCs w:val="48"/>
    </w:rPr>
  </w:style>
  <w:style w:type="paragraph" w:styleId="705">
    <w:name w:val="Subtitle"/>
    <w:basedOn w:val="679"/>
    <w:next w:val="679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89"/>
    <w:link w:val="705"/>
    <w:uiPriority w:val="11"/>
    <w:rPr>
      <w:sz w:val="24"/>
      <w:szCs w:val="24"/>
    </w:rPr>
  </w:style>
  <w:style w:type="paragraph" w:styleId="707">
    <w:name w:val="Quote"/>
    <w:basedOn w:val="679"/>
    <w:next w:val="679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9"/>
    <w:next w:val="679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Header Char"/>
    <w:basedOn w:val="689"/>
    <w:uiPriority w:val="99"/>
  </w:style>
  <w:style w:type="character" w:styleId="712" w:customStyle="1">
    <w:name w:val="Footer Char"/>
    <w:basedOn w:val="689"/>
    <w:uiPriority w:val="99"/>
  </w:style>
  <w:style w:type="paragraph" w:styleId="713">
    <w:name w:val="Caption"/>
    <w:basedOn w:val="679"/>
    <w:next w:val="679"/>
    <w:link w:val="71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азвание объекта Знак"/>
    <w:basedOn w:val="689"/>
    <w:link w:val="713"/>
    <w:uiPriority w:val="35"/>
    <w:rPr>
      <w:b/>
      <w:bCs/>
      <w:color w:val="5b9bd5" w:themeColor="accent1"/>
      <w:sz w:val="18"/>
      <w:szCs w:val="18"/>
    </w:rPr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character" w:styleId="842" w:customStyle="1">
    <w:name w:val="Footnote Text Char"/>
    <w:uiPriority w:val="99"/>
    <w:rPr>
      <w:sz w:val="18"/>
    </w:rPr>
  </w:style>
  <w:style w:type="paragraph" w:styleId="843">
    <w:name w:val="endnote text"/>
    <w:basedOn w:val="679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9"/>
    <w:uiPriority w:val="99"/>
    <w:semiHidden/>
    <w:unhideWhenUsed/>
    <w:rPr>
      <w:vertAlign w:val="superscript"/>
    </w:rPr>
  </w:style>
  <w:style w:type="paragraph" w:styleId="846">
    <w:name w:val="toc 1"/>
    <w:basedOn w:val="679"/>
    <w:next w:val="679"/>
    <w:uiPriority w:val="39"/>
    <w:unhideWhenUsed/>
    <w:pPr>
      <w:spacing w:after="57"/>
    </w:pPr>
  </w:style>
  <w:style w:type="paragraph" w:styleId="847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48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49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0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1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2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3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4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9"/>
    <w:next w:val="679"/>
    <w:uiPriority w:val="99"/>
    <w:unhideWhenUsed/>
    <w:pPr>
      <w:spacing w:after="0"/>
    </w:pPr>
  </w:style>
  <w:style w:type="paragraph" w:styleId="857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8">
    <w:name w:val="footnote text"/>
    <w:basedOn w:val="679"/>
    <w:link w:val="859"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59" w:customStyle="1">
    <w:name w:val="Текст сноски Знак"/>
    <w:basedOn w:val="689"/>
    <w:link w:val="858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60">
    <w:name w:val="footnote reference"/>
    <w:unhideWhenUsed/>
    <w:rPr>
      <w:vertAlign w:val="superscript"/>
    </w:rPr>
  </w:style>
  <w:style w:type="character" w:styleId="861">
    <w:name w:val="annotation reference"/>
    <w:uiPriority w:val="99"/>
    <w:semiHidden/>
    <w:unhideWhenUsed/>
    <w:rPr>
      <w:sz w:val="16"/>
      <w:szCs w:val="16"/>
    </w:rPr>
  </w:style>
  <w:style w:type="paragraph" w:styleId="862">
    <w:name w:val="annotation text"/>
    <w:basedOn w:val="679"/>
    <w:link w:val="863"/>
    <w:uiPriority w:val="99"/>
    <w:semiHidden/>
    <w:unhideWhenUsed/>
    <w:rPr>
      <w:sz w:val="20"/>
      <w:szCs w:val="20"/>
    </w:rPr>
  </w:style>
  <w:style w:type="character" w:styleId="863" w:customStyle="1">
    <w:name w:val="Текст примечания Знак"/>
    <w:basedOn w:val="689"/>
    <w:link w:val="862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64" w:customStyle="1">
    <w:name w:val="регламент_нумерация"/>
    <w:basedOn w:val="679"/>
    <w:qFormat/>
    <w:pPr>
      <w:jc w:val="both"/>
      <w:spacing w:after="0" w:line="240" w:lineRule="auto"/>
      <w:tabs>
        <w:tab w:val="left" w:pos="1260" w:leader="none"/>
      </w:tabs>
    </w:pPr>
    <w:rPr>
      <w:rFonts w:ascii="Times New Roman" w:hAnsi="Times New Roman" w:eastAsia="Times New Roman"/>
      <w:sz w:val="28"/>
      <w:szCs w:val="28"/>
      <w:lang w:eastAsia="ar-SA"/>
    </w:rPr>
  </w:style>
  <w:style w:type="paragraph" w:styleId="865">
    <w:name w:val="Footer"/>
    <w:basedOn w:val="679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9"/>
    <w:link w:val="865"/>
    <w:uiPriority w:val="99"/>
    <w:rPr>
      <w:rFonts w:ascii="Calibri" w:hAnsi="Calibri" w:eastAsia="Calibri" w:cs="Times New Roman"/>
    </w:rPr>
  </w:style>
  <w:style w:type="paragraph" w:styleId="867">
    <w:name w:val="Balloon Text"/>
    <w:basedOn w:val="679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89"/>
    <w:link w:val="867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69">
    <w:name w:val="Header"/>
    <w:basedOn w:val="679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89"/>
    <w:link w:val="869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Сиротенко Ксения Валерьевна</dc:creator>
  <cp:keywords/>
  <dc:description/>
  <cp:lastModifiedBy>shishova.ekaterina</cp:lastModifiedBy>
  <cp:revision>10</cp:revision>
  <dcterms:created xsi:type="dcterms:W3CDTF">2024-06-11T12:26:00Z</dcterms:created>
  <dcterms:modified xsi:type="dcterms:W3CDTF">2026-01-22T12:02:05Z</dcterms:modified>
</cp:coreProperties>
</file>