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bCs/>
        </w:rPr>
        <w:t>Сообщение о существенном факте</w:t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>
      <w:pPr>
        <w:pStyle w:val="Normal"/>
        <w:ind w:left="-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277"/>
        <w:gridCol w:w="5637"/>
      </w:tblGrid>
      <w:tr>
        <w:trPr/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1. Общие сведения</w:t>
            </w:r>
          </w:p>
        </w:tc>
      </w:tr>
      <w:tr>
        <w:trPr>
          <w:trHeight w:val="690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>
          <w:trHeight w:val="415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1052600002180</w:t>
            </w:r>
          </w:p>
        </w:tc>
      </w:tr>
      <w:tr>
        <w:trPr>
          <w:trHeight w:val="70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1.4. Идентификационный номер налогоплательщика (ИНН) эмитента (при наличии)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2607018122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1.5. Уникальный код эмитента, присвоенный Банком России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65105-D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57"/>
              <w:rPr/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16.07.2024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41" w:type="dxa"/>
        <w:jc w:val="left"/>
        <w:tblInd w:w="-59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941"/>
      </w:tblGrid>
      <w:tr>
        <w:trPr/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4214" w:hRule="atLeast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2.1. </w:t>
            </w:r>
            <w:r>
              <w:rPr>
                <w:rFonts w:eastAsia="Calibri"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>
            <w:pPr>
              <w:pStyle w:val="Normal"/>
              <w:tabs>
                <w:tab w:val="clear" w:pos="708"/>
                <w:tab w:val="left" w:pos="10772" w:leader="none"/>
              </w:tabs>
              <w:ind w:right="57"/>
              <w:rPr/>
            </w:pPr>
            <w:r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rPr/>
              <w:t>.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-28" w:right="57"/>
              <w:jc w:val="both"/>
              <w:rPr/>
            </w:pPr>
            <w:r>
              <w:rPr/>
              <w:t>2.2. Содержание решений, принятых советом директоров эмитента:</w:t>
            </w:r>
          </w:p>
          <w:p>
            <w:pPr>
              <w:pStyle w:val="Normal"/>
              <w:tabs>
                <w:tab w:val="left" w:pos="-142" w:leader="none"/>
                <w:tab w:val="left" w:pos="547" w:leader="none"/>
                <w:tab w:val="left" w:pos="708" w:leader="none"/>
              </w:tabs>
              <w:ind w:hanging="0" w:left="-283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BodyText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Вопрос:</w:t>
            </w:r>
          </w:p>
          <w:p>
            <w:pPr>
              <w:pStyle w:val="4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1. Об определении закупочной политики в Обществе.</w:t>
            </w:r>
          </w:p>
          <w:p>
            <w:pPr>
              <w:pStyle w:val="4"/>
              <w:spacing w:before="20" w:after="20"/>
              <w:rPr/>
            </w:pPr>
            <w:r>
              <w:rPr>
                <w:b/>
                <w:bCs/>
                <w:sz w:val="20"/>
                <w:szCs w:val="20"/>
              </w:rPr>
              <w:t>1.1. О внесении изменений в Годовую комплексную программу закупок Общества под нужды 2024 года.</w:t>
            </w:r>
          </w:p>
          <w:p>
            <w:pPr>
              <w:pStyle w:val="BodyText"/>
              <w:ind w:hanging="0" w:left="0" w:right="0"/>
              <w:rPr/>
            </w:pPr>
            <w:r>
              <w:rPr>
                <w:bCs/>
                <w:sz w:val="20"/>
                <w:szCs w:val="20"/>
              </w:rPr>
              <w:t>Результаты голосования: За – 10, Против – 0, Воздержался – 1, не учитывались при голосовании – 0.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Принятое решение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4"/>
              <w:spacing w:before="20" w:after="20"/>
              <w:rPr/>
            </w:pPr>
            <w:r>
              <w:rPr/>
              <w:t>Утвердить корректировку Годовой комплексной программы закупок Общества под нужды 2024 года в соответствии с Приложением № 1.1. к решению Совета директоров ПАО «ОГК-2».</w:t>
            </w:r>
          </w:p>
          <w:p>
            <w:pPr>
              <w:pStyle w:val="4"/>
              <w:spacing w:before="20" w:after="20"/>
              <w:rPr/>
            </w:pPr>
            <w:r>
              <w:rPr/>
            </w:r>
          </w:p>
          <w:p>
            <w:pPr>
              <w:pStyle w:val="4"/>
              <w:spacing w:before="20" w:after="20"/>
              <w:rPr/>
            </w:pPr>
            <w:r>
              <w:rPr>
                <w:b/>
                <w:bCs/>
              </w:rPr>
              <w:t>2. О рассмотрении отчета о выполнении Плана мероприятий по повышению операционной эффективности и оптимизации расходов ПАО «ОГК 2» за 12 месяцев 2023 года</w:t>
            </w:r>
            <w:r>
              <w:rPr/>
              <w:t>.</w:t>
            </w:r>
          </w:p>
          <w:p>
            <w:pPr>
              <w:pStyle w:val="BodyText"/>
              <w:ind w:hanging="0" w:left="0" w:right="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Результаты голосования: За – 11, Против – 0, Воздержался – 0, не учитывались при голосовании – 0.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Принятое решение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4"/>
              <w:spacing w:before="20" w:after="2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Утвердить отчет о выполнении Плана мероприятий по повышению операционной эффективности и оптимизации расходов ПАО «ОГК-2» за 12 месяцев 2023 года, в соответствии с Приложением № 2 к решению Совета директоров ПАО «ОГК-2».</w:t>
            </w:r>
          </w:p>
          <w:p>
            <w:pPr>
              <w:pStyle w:val="4"/>
              <w:spacing w:before="20" w:after="2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4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3. О рассмотрении отчета о выполнении Плана мероприятий по повышению операционной эффективности и оптимизации расходов ПАО «ОГК 2» за 3 месяца 2024 года.</w:t>
            </w:r>
          </w:p>
          <w:p>
            <w:pPr>
              <w:pStyle w:val="BodyText"/>
              <w:ind w:hanging="0" w:left="0" w:right="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Результаты голосования: За – 11, Против – 0, Воздержался – 0, не учитывались при голосовании – 0.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Принятое решение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4"/>
              <w:spacing w:before="20" w:after="2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Утвердить отчет о выполнении Плана мероприятий по повышению операционной эффективности и оптимизации расходов ПАО «ОГК-2» за 3 месяца 2024 года, в соответствии с Приложением № 3 к решению Совета директоров ПАО «ОГК-2».</w:t>
            </w:r>
          </w:p>
          <w:p>
            <w:pPr>
              <w:pStyle w:val="4"/>
              <w:spacing w:before="20" w:after="2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4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4. Об утверждении документов, определяющих порядок и срок раскрытия инсайдерской информации об Обществе, правила внутреннего контроля по предотвращению, выявлению и пресечению неправомерного использования инсайдерской информации и (или) манипулирования рынком, включающего определение условий совершения операций с финансовыми инструментами.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Результаты голосования: За – 11, Против – 0, Воздержался – 0, не учитывались при голосовании – 0.</w:t>
            </w:r>
          </w:p>
          <w:p>
            <w:pPr>
              <w:pStyle w:val="Normal"/>
              <w:ind w:hanging="0" w:left="0" w:righ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Принятое решение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4"/>
              <w:spacing w:before="20" w:after="2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Утвердить изменения в Условия совершения операций с финансовыми инструментами лицами, включенными в список инсайдеров ПАО «ОГК-2», и связанными с ними лицами (Приложение № 1 к Положению о контроле за соблюдением требований законодательства в сфере противодействия неправомерному использованию инсайдерской информации и манипулированию рынком Публичного акционерного общества «Вторая генерирующая компания оптового рынка электроэнергии») в соответствии с Приложением № 4 к решению Совета директоров ПАО «ОГК-2».</w:t>
            </w:r>
          </w:p>
          <w:p>
            <w:pPr>
              <w:pStyle w:val="4"/>
              <w:spacing w:before="20" w:after="20"/>
              <w:rPr/>
            </w:pPr>
            <w:r>
              <w:rPr/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  <w:sz w:val="20"/>
                <w:szCs w:val="20"/>
              </w:rPr>
              <w:t xml:space="preserve"> 16.07.2024.</w:t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  <w:sz w:val="20"/>
                <w:szCs w:val="20"/>
              </w:rPr>
              <w:t>Протокол от 16.07.2024 № 326.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628"/>
        <w:gridCol w:w="608"/>
        <w:gridCol w:w="293"/>
        <w:gridCol w:w="1318"/>
        <w:gridCol w:w="416"/>
        <w:gridCol w:w="307"/>
        <w:gridCol w:w="1209"/>
        <w:gridCol w:w="1339"/>
        <w:gridCol w:w="462"/>
        <w:gridCol w:w="3066"/>
        <w:gridCol w:w="268"/>
      </w:tblGrid>
      <w:tr>
        <w:trPr>
          <w:cantSplit w:val="true"/>
        </w:trPr>
        <w:tc>
          <w:tcPr>
            <w:tcW w:w="109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3. Подпись</w:t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i/>
                <w:i/>
                <w:szCs w:val="22"/>
                <w:lang w:eastAsia="ko-KR"/>
              </w:rPr>
            </w:pPr>
            <w:r>
              <w:rPr>
                <w:b/>
                <w:i/>
                <w:szCs w:val="22"/>
                <w:lang w:eastAsia="ko-KR"/>
              </w:rPr>
            </w:r>
          </w:p>
        </w:tc>
        <w:tc>
          <w:tcPr>
            <w:tcW w:w="306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Cs w:val="22"/>
                <w:lang w:eastAsia="ko-KR"/>
              </w:rPr>
              <w:t>М.А. Чалый</w:t>
            </w:r>
          </w:p>
        </w:tc>
        <w:tc>
          <w:tcPr>
            <w:tcW w:w="26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1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6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68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" w:hRule="atLeast"/>
          <w:cantSplit w:val="true"/>
        </w:trPr>
        <w:tc>
          <w:tcPr>
            <w:tcW w:w="162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893" w:leader="none"/>
                <w:tab w:val="left" w:pos="1532" w:leader="none"/>
              </w:tabs>
              <w:ind w:left="57"/>
              <w:rPr/>
            </w:pPr>
            <w:r>
              <w:rPr/>
              <w:t>3.2. Дата</w:t>
            </w:r>
          </w:p>
        </w:tc>
        <w:tc>
          <w:tcPr>
            <w:tcW w:w="60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«17»</w:t>
            </w:r>
          </w:p>
        </w:tc>
        <w:tc>
          <w:tcPr>
            <w:tcW w:w="293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июля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1339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7"/>
              <w:rPr/>
            </w:pPr>
            <w:r>
              <w:rPr/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1134" w:right="851" w:gutter="0" w:header="284" w:top="341" w:footer="284" w:bottom="34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Style12ptBoldItalic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5">
    <w:name w:val="Содержимое врезки"/>
    <w:basedOn w:val="Normal"/>
    <w:qFormat/>
    <w:pPr/>
    <w:rPr/>
  </w:style>
  <w:style w:type="paragraph" w:styleId="4">
    <w:name w:val="Абзац 4"/>
    <w:basedOn w:val="Normal"/>
    <w:qFormat/>
    <w:pPr>
      <w:jc w:val="both"/>
    </w:pPr>
    <w:rPr/>
  </w:style>
  <w:style w:type="paragraph" w:styleId="3">
    <w:name w:val="Абзац 3"/>
    <w:basedOn w:val="Normal"/>
    <w:qFormat/>
    <w:pPr>
      <w:jc w:val="both"/>
    </w:pPr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279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3BC5-EFF1-46FF-8754-C3C401C5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LibreOffice/7.6.7.2$Linux_X86_64 LibreOffice_project/60$Build-2</Application>
  <AppVersion>15.0000</AppVersion>
  <Pages>2</Pages>
  <Words>535</Words>
  <Characters>3649</Characters>
  <CharactersWithSpaces>4147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Белокур Елена Викторовна</dc:creator>
  <dc:description/>
  <dc:language>ru-RU</dc:language>
  <cp:lastModifiedBy/>
  <cp:lastPrinted>2024-07-17T08:45:00Z</cp:lastPrinted>
  <dcterms:modified xsi:type="dcterms:W3CDTF">2024-07-16T17:53:02Z</dcterms:modified>
  <cp:revision>353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