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 xml:space="preserve">Сообщение о существенном факте</w:t>
        <w:br/>
        <w:t xml:space="preserve">«</w:t>
      </w:r>
      <w:r>
        <w:rPr>
          <w:b/>
          <w:color w:val="000000"/>
        </w:rPr>
        <w:t xml:space="preserve">Об отдельных решениях, принятых советом директоров эмитента»</w:t>
      </w:r>
      <w:r/>
    </w:p>
    <w:p>
      <w:pPr>
        <w:pStyle w:val="662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tbl>
      <w:tblPr>
        <w:tblW w:w="10944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5247"/>
        <w:gridCol w:w="569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4" w:type="dxa"/>
            <w:textDirection w:val="lrTb"/>
            <w:noWrap w:val="false"/>
          </w:tcPr>
          <w:p>
            <w:pPr>
              <w:pStyle w:val="662"/>
              <w:ind w:left="-61"/>
              <w:jc w:val="center"/>
            </w:pPr>
            <w:r>
              <w:t xml:space="preserve">1. Общие сведения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b/>
                <w:bCs/>
              </w:rPr>
            </w:pPr>
            <w: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  <w:p>
            <w:pPr>
              <w:pStyle w:val="662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b/>
                <w:bCs/>
              </w:rPr>
            </w:pPr>
            <w: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196605, г. Санкт-Петербург, вн.тер.г. поселок Шушары, ш Петербургское, д. 66, к. 1, литера А, этаж 7, помещ. 36-Н, каб. 701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1.3. Основной государственный регистрационный номер (ОГРН)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1052600002180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2607018122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1.5. Уникальный код эмитента, присвоенный Банком России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65105-D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</w:pPr>
            <w: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right="57"/>
            </w:pPr>
            <w:r/>
            <w:hyperlink r:id="rId12" w:tooltip="https://www.ogk2.ru/" w:history="1">
              <w:r>
                <w:rPr>
                  <w:rStyle w:val="697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https://www.ogk2.ru</w:t>
              </w:r>
            </w:hyperlink>
            <w:r/>
            <w:r/>
          </w:p>
          <w:p>
            <w:pPr>
              <w:pStyle w:val="662"/>
              <w:ind w:right="85"/>
            </w:pPr>
            <w:r/>
            <w:hyperlink r:id="rId13" w:tooltip="https://www.e-disclosure.ru/portal/company.aspx?id=7234" w:history="1">
              <w:r>
                <w:rPr>
                  <w:rStyle w:val="697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https://www.e-disclosure.ru/portal/company.aspx?id=7234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12.03.2024</w:t>
            </w:r>
            <w:r/>
          </w:p>
        </w:tc>
      </w:tr>
    </w:tbl>
    <w:p>
      <w:pPr>
        <w:pStyle w:val="662"/>
      </w:pPr>
      <w:r/>
      <w:r/>
    </w:p>
    <w:tbl>
      <w:tblPr>
        <w:tblW w:w="10941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09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2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pStyle w:val="662"/>
              <w:jc w:val="both"/>
              <w:rPr>
                <w:rFonts w:eastAsia="Calibri" w:eastAsiaTheme="minorHAnsi"/>
                <w:lang w:eastAsia="en-US"/>
              </w:rPr>
            </w:pPr>
            <w:r>
              <w:t xml:space="preserve">2.1. </w:t>
            </w:r>
            <w:r>
              <w:rPr>
                <w:rFonts w:eastAsia="Calibri" w:eastAsiaTheme="minorHAnsi"/>
                <w:lang w:eastAsia="en-US"/>
              </w:rPr>
              <w:t xml:space="preserve">Сведения о кворуме заседания Совета директоров эмитента:</w:t>
            </w:r>
            <w:r/>
          </w:p>
          <w:p>
            <w:pPr>
              <w:pStyle w:val="662"/>
              <w:ind w:right="57"/>
            </w:pPr>
            <w:r>
              <w:rPr>
                <w:b/>
              </w:rPr>
              <w:t xml:space="preserve">В заочном голосовании приняли участие 10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t xml:space="preserve">.</w:t>
            </w:r>
            <w:r/>
          </w:p>
          <w:p>
            <w:pPr>
              <w:pStyle w:val="662"/>
              <w:ind w:left="-28" w:right="57"/>
              <w:jc w:val="both"/>
              <w:tabs>
                <w:tab w:val="left" w:pos="547" w:leader="none"/>
                <w:tab w:val="clear" w:pos="708" w:leader="none"/>
              </w:tabs>
            </w:pPr>
            <w:r>
              <w:t xml:space="preserve"> 2.2. Содержание решений, принятых советом директоров эмитента:</w:t>
            </w:r>
            <w:r/>
          </w:p>
          <w:p>
            <w:pPr>
              <w:pStyle w:val="662"/>
              <w:ind w:left="121" w:right="57"/>
              <w:jc w:val="both"/>
              <w:tabs>
                <w:tab w:val="left" w:pos="547" w:leader="none"/>
                <w:tab w:val="clear" w:pos="708" w:leader="none"/>
              </w:tabs>
            </w:pPr>
            <w:r/>
            <w:r/>
          </w:p>
          <w:p>
            <w:pPr>
              <w:pStyle w:val="708"/>
              <w:widowControl w:val="off"/>
              <w:rPr>
                <w:b/>
              </w:rPr>
            </w:pPr>
            <w:r>
              <w:rPr>
                <w:b/>
              </w:rPr>
              <w:t xml:space="preserve">Вопрос:</w:t>
            </w:r>
            <w:r/>
          </w:p>
          <w:p>
            <w:pPr>
              <w:pStyle w:val="708"/>
              <w:widowControl w:val="off"/>
              <w:rPr>
                <w:b/>
              </w:rPr>
            </w:pPr>
            <w:r>
              <w:rPr>
                <w:b/>
              </w:rPr>
              <w:t xml:space="preserve">1. Об определении закупочной политики.</w:t>
            </w:r>
            <w:r/>
          </w:p>
          <w:p>
            <w:pPr>
              <w:pStyle w:val="738"/>
              <w:spacing w:before="20" w:after="20"/>
            </w:pPr>
            <w:r>
              <w:rPr>
                <w:b/>
              </w:rPr>
              <w:t xml:space="preserve">1.2. О внесении изменений в Годовую комплексную программу закупок Общества под нужды 2024 года.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9,  Против – 0, Воздержался – 1, не учитывались при голосовании – 0.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/>
            <w:r/>
          </w:p>
          <w:p>
            <w:pPr>
              <w:pStyle w:val="735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738"/>
              <w:spacing w:before="20" w:after="20"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Утвердить корректировку Годовой комплексной программы закупок Общества под нужды 2024 года в соответствии с Приложениями №№ 1.2.1, 1.2.2. к решению Совета директоров.</w:t>
            </w:r>
            <w:r/>
          </w:p>
          <w:p>
            <w:pPr>
              <w:pStyle w:val="736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  <w:r/>
          </w:p>
          <w:p>
            <w:pPr>
              <w:pStyle w:val="736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2. Об утверждении бизнес-плана ПАО «ОГК-2» на 2024 год и ключевых показателей деятельности на 2024 год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10,  Против – 0, Воздержался – 0, не учитывались при голосовании – 0.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/>
            <w:r/>
          </w:p>
          <w:p>
            <w:pPr>
              <w:pStyle w:val="735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738"/>
              <w:spacing w:before="20" w:after="20"/>
            </w:pPr>
            <w:r>
              <w:t xml:space="preserve">1.1. Утвердить бизнес-план ПАО «ОГК-2» на 2024 год согласно Приложению № 2.1.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 решению Совета директоров.</w:t>
            </w:r>
            <w:r/>
          </w:p>
          <w:p>
            <w:pPr>
              <w:pStyle w:val="738"/>
              <w:spacing w:before="20" w:after="20"/>
            </w:pPr>
            <w:r>
              <w:t xml:space="preserve">1.2. Принять к сведению параметры бюджета доходов и расходов Субхолдинга ОГК-2 на 2024 год согласно Приложению</w:t>
              <w:br/>
              <w:t xml:space="preserve">№ 2.2.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 решению Совета директоров.</w:t>
            </w:r>
            <w:r/>
          </w:p>
          <w:p>
            <w:pPr>
              <w:pStyle w:val="736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1.3. Утвердить целевые значения ключевых показателей деятельности в функциональной области «бюджетирование» Субхолдинга ОГК-2 на 2024 год согласно Приложению № 2.3. к решению Совета директоров.</w:t>
            </w:r>
            <w:r/>
          </w:p>
          <w:p>
            <w:pPr>
              <w:pStyle w:val="662"/>
              <w:ind w:right="57" w:firstLine="21"/>
              <w:jc w:val="both"/>
              <w:rPr>
                <w:b/>
                <w:color w:val="000000"/>
              </w:rPr>
            </w:pPr>
            <w:r/>
            <w:r/>
          </w:p>
          <w:p>
            <w:pPr>
              <w:pStyle w:val="662"/>
              <w:ind w:right="57" w:firstLine="2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12.03.2024.</w:t>
            </w:r>
            <w:r/>
          </w:p>
          <w:p>
            <w:pPr>
              <w:pStyle w:val="662"/>
              <w:ind w:right="57" w:firstLine="21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 xml:space="preserve">Протокол от 12.03.2024 № 316.</w:t>
            </w:r>
            <w:r/>
          </w:p>
        </w:tc>
      </w:tr>
    </w:tbl>
    <w:p>
      <w:pPr>
        <w:pStyle w:val="662"/>
      </w:pPr>
      <w:r/>
      <w:r/>
    </w:p>
    <w:tbl>
      <w:tblPr>
        <w:tblW w:w="10995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39"/>
        <w:gridCol w:w="612"/>
        <w:gridCol w:w="298"/>
        <w:gridCol w:w="1329"/>
        <w:gridCol w:w="417"/>
        <w:gridCol w:w="312"/>
        <w:gridCol w:w="1538"/>
        <w:gridCol w:w="1818"/>
        <w:gridCol w:w="3031"/>
      </w:tblGrid>
      <w:tr>
        <w:trPr>
          <w:cantSplit/>
          <w:trHeight w:val="10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5" w:type="dxa"/>
            <w:textDirection w:val="lrTb"/>
            <w:noWrap w:val="false"/>
          </w:tcPr>
          <w:p>
            <w:pPr>
              <w:pStyle w:val="662"/>
              <w:ind w:left="-61" w:right="-116" w:firstLine="33"/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6145" w:type="dxa"/>
            <w:vAlign w:val="bottom"/>
            <w:textDirection w:val="lrTb"/>
            <w:noWrap w:val="false"/>
          </w:tcPr>
          <w:p>
            <w:pPr>
              <w:pStyle w:val="662"/>
              <w:ind w:left="0" w:right="0" w:firstLine="0"/>
              <w:spacing w:before="240" w:after="0" w:line="57" w:lineRule="atLeast"/>
            </w:pPr>
            <w:r>
              <w:rPr>
                <w:b/>
              </w:rPr>
              <w:t xml:space="preserve">3.1.</w:t>
            </w:r>
            <w:r>
              <w:rPr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Начальник Управления корпоративных и имущественных отношений ПАО «ОГК-2» на основании доверенности</w:t>
              <w:br/>
              <w:t xml:space="preserve">№ 78/66-н/78-2022-3-513 от 07.06.2022</w:t>
            </w:r>
            <w:r/>
          </w:p>
          <w:p>
            <w:pPr>
              <w:pStyle w:val="662"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18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31" w:type="dxa"/>
            <w:vAlign w:val="bottom"/>
            <w:textDirection w:val="lrTb"/>
            <w:noWrap w:val="false"/>
          </w:tcPr>
          <w:p>
            <w:pPr>
              <w:pStyle w:val="662"/>
              <w:ind w:left="0" w:right="121"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Е.Н. Егорова</w:t>
            </w:r>
            <w:r/>
          </w:p>
        </w:tc>
      </w:tr>
      <w:tr>
        <w:trPr>
          <w:cantSplit/>
          <w:trHeight w:val="363"/>
        </w:trPr>
        <w:tc>
          <w:tcPr>
            <w:gridSpan w:val="7"/>
            <w:tcBorders>
              <w:left w:val="single" w:color="000000" w:sz="4" w:space="0"/>
            </w:tcBorders>
            <w:tcW w:w="6145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818" w:type="dxa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(подпись)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31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</w:tr>
      <w:tr>
        <w:trPr>
          <w:cantSplit/>
          <w:trHeight w:val="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639" w:type="dxa"/>
            <w:vAlign w:val="bottom"/>
            <w:textDirection w:val="lrTb"/>
            <w:noWrap w:val="false"/>
          </w:tcPr>
          <w:p>
            <w:pPr>
              <w:pStyle w:val="662"/>
              <w:ind w:left="57"/>
              <w:tabs>
                <w:tab w:val="clear" w:pos="708" w:leader="none"/>
                <w:tab w:val="left" w:pos="893" w:leader="none"/>
                <w:tab w:val="left" w:pos="1532" w:leader="none"/>
              </w:tabs>
            </w:pPr>
            <w:r>
              <w:t xml:space="preserve">3.2. Дата</w:t>
            </w:r>
            <w:r/>
          </w:p>
        </w:tc>
        <w:tc>
          <w:tcPr>
            <w:tcBorders>
              <w:bottom w:val="single" w:color="000000" w:sz="4" w:space="0"/>
            </w:tcBorders>
            <w:tcW w:w="612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«12»</w:t>
            </w:r>
            <w:r/>
          </w:p>
        </w:tc>
        <w:tc>
          <w:tcPr>
            <w:tcBorders>
              <w:bottom w:val="single" w:color="000000" w:sz="4" w:space="0"/>
            </w:tcBorders>
            <w:tcW w:w="298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329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марта</w:t>
            </w:r>
            <w:r/>
          </w:p>
        </w:tc>
        <w:tc>
          <w:tcPr>
            <w:tcBorders>
              <w:bottom w:val="single" w:color="000000" w:sz="4" w:space="0"/>
            </w:tcBorders>
            <w:tcW w:w="417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24</w:t>
            </w:r>
            <w:r/>
          </w:p>
        </w:tc>
        <w:tc>
          <w:tcPr>
            <w:tcBorders>
              <w:bottom w:val="single" w:color="000000" w:sz="4" w:space="0"/>
            </w:tcBorders>
            <w:tcW w:w="1538" w:type="dxa"/>
            <w:vAlign w:val="bottom"/>
            <w:textDirection w:val="lrTb"/>
            <w:noWrap w:val="false"/>
          </w:tcPr>
          <w:p>
            <w:pPr>
              <w:pStyle w:val="662"/>
              <w:ind w:left="57"/>
            </w:pPr>
            <w:r>
              <w:t xml:space="preserve">г.</w:t>
            </w:r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0" w:type="dxa"/>
            <w:vAlign w:val="bottom"/>
            <w:textDirection w:val="lrTb"/>
            <w:noWrap w:val="false"/>
          </w:tcPr>
          <w:p>
            <w:pPr>
              <w:pStyle w:val="662"/>
              <w:ind w:left="0" w:right="-221" w:firstLine="0"/>
              <w:jc w:val="center"/>
            </w:pPr>
            <w:r/>
            <w:r/>
          </w:p>
        </w:tc>
      </w:tr>
    </w:tbl>
    <w:p>
      <w:pPr>
        <w:pStyle w:val="662"/>
        <w:tabs>
          <w:tab w:val="clear" w:pos="708" w:leader="none"/>
          <w:tab w:val="left" w:pos="2895" w:leader="none"/>
        </w:tabs>
      </w:pPr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590" w:right="1440" w:bottom="1440" w:left="731" w:header="284" w:footer="284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31"/>
                            <w:rPr>
                              <w:rStyle w:val="696"/>
                            </w:rPr>
                          </w:pPr>
                          <w:r>
                            <w:rPr>
                              <w:rStyle w:val="69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31"/>
                      <w:rPr>
                        <w:rStyle w:val="696"/>
                      </w:rPr>
                    </w:pPr>
                    <w:r>
                      <w:rPr>
                        <w:rStyle w:val="696"/>
                        <w:color w:val="000000"/>
                      </w:rPr>
                      <w:fldChar w:fldCharType="begin"/>
                    </w:r>
                    <w:r>
                      <w:rPr>
                        <w:rStyle w:val="69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696"/>
                        <w:color w:val="000000"/>
                      </w:rPr>
                      <w:fldChar w:fldCharType="separate"/>
                    </w:r>
                    <w:r>
                      <w:rPr>
                        <w:rStyle w:val="696"/>
                        <w:color w:val="000000"/>
                      </w:rPr>
                      <w:t xml:space="preserve">0</w:t>
                    </w:r>
                    <w:r>
                      <w:rPr>
                        <w:rStyle w:val="696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63">
    <w:name w:val="Heading 1"/>
    <w:basedOn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1 Char"/>
    <w:basedOn w:val="694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4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4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4"/>
    <w:uiPriority w:val="10"/>
    <w:qFormat/>
    <w:rPr>
      <w:sz w:val="48"/>
      <w:szCs w:val="48"/>
    </w:rPr>
  </w:style>
  <w:style w:type="character" w:styleId="682">
    <w:name w:val="Subtitle Char"/>
    <w:basedOn w:val="694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4"/>
    <w:uiPriority w:val="99"/>
    <w:qFormat/>
  </w:style>
  <w:style w:type="character" w:styleId="686">
    <w:name w:val="Footer Char"/>
    <w:basedOn w:val="694"/>
    <w:uiPriority w:val="99"/>
    <w:qFormat/>
  </w:style>
  <w:style w:type="character" w:styleId="687">
    <w:name w:val="Caption Char"/>
    <w:uiPriority w:val="99"/>
    <w:qFormat/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Символ сноски"/>
    <w:uiPriority w:val="99"/>
    <w:unhideWhenUsed/>
    <w:qFormat/>
    <w:rPr>
      <w:vertAlign w:val="superscript"/>
    </w:rPr>
  </w:style>
  <w:style w:type="character" w:styleId="690">
    <w:name w:val="footnote reference"/>
    <w:rPr>
      <w:vertAlign w:val="superscript"/>
    </w:rPr>
  </w:style>
  <w:style w:type="character" w:styleId="691">
    <w:name w:val="Endnote Text Char"/>
    <w:uiPriority w:val="99"/>
    <w:qFormat/>
    <w:rPr>
      <w:sz w:val="20"/>
    </w:rPr>
  </w:style>
  <w:style w:type="character" w:styleId="6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3">
    <w:name w:val="endnote reference"/>
    <w:rPr>
      <w:vertAlign w:val="superscript"/>
    </w:rPr>
  </w:style>
  <w:style w:type="character" w:styleId="694" w:default="1">
    <w:name w:val="Default Paragraph Font"/>
    <w:uiPriority w:val="1"/>
    <w:semiHidden/>
    <w:unhideWhenUsed/>
    <w:qFormat/>
  </w:style>
  <w:style w:type="character" w:styleId="695" w:customStyle="1">
    <w:name w:val="Верхний колонтитул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6">
    <w:name w:val="page number"/>
    <w:basedOn w:val="694"/>
    <w:qFormat/>
  </w:style>
  <w:style w:type="character" w:styleId="697">
    <w:name w:val="Hyperlink"/>
    <w:rPr>
      <w:color w:val="0000ff"/>
      <w:u w:val="single"/>
    </w:rPr>
  </w:style>
  <w:style w:type="character" w:styleId="698" w:customStyle="1">
    <w:name w:val="Основной текст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9" w:customStyle="1">
    <w:name w:val="Нижний колонтитул Знак"/>
    <w:basedOn w:val="69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0" w:customStyle="1">
    <w:name w:val="Текст выноски Знак"/>
    <w:basedOn w:val="694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0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702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703">
    <w:name w:val="Subtle Emphasis"/>
    <w:basedOn w:val="694"/>
    <w:uiPriority w:val="19"/>
    <w:qFormat/>
    <w:rPr>
      <w:i/>
      <w:iCs/>
      <w:color w:val="404040" w:themeColor="text1" w:themeTint="BF"/>
    </w:rPr>
  </w:style>
  <w:style w:type="character" w:styleId="704">
    <w:name w:val="Strong"/>
    <w:basedOn w:val="694"/>
    <w:uiPriority w:val="22"/>
    <w:qFormat/>
    <w:rPr>
      <w:b/>
      <w:bCs/>
    </w:rPr>
  </w:style>
  <w:style w:type="character" w:styleId="705" w:customStyle="1">
    <w:name w:val="Subst"/>
    <w:uiPriority w:val="99"/>
    <w:qFormat/>
    <w:rPr>
      <w:b/>
      <w:i/>
    </w:rPr>
  </w:style>
  <w:style w:type="character" w:styleId="706">
    <w:name w:val="Символ нумерации"/>
    <w:qFormat/>
  </w:style>
  <w:style w:type="paragraph" w:styleId="707">
    <w:name w:val="Заголовок"/>
    <w:basedOn w:val="662"/>
    <w:next w:val="708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08">
    <w:name w:val="Body Text"/>
    <w:basedOn w:val="662"/>
    <w:pPr>
      <w:spacing w:before="0" w:after="120"/>
    </w:pPr>
  </w:style>
  <w:style w:type="paragraph" w:styleId="709">
    <w:name w:val="List"/>
    <w:basedOn w:val="708"/>
    <w:rPr>
      <w:rFonts w:cs="Lohit Devanagari"/>
    </w:rPr>
  </w:style>
  <w:style w:type="paragraph" w:styleId="710">
    <w:name w:val="Caption"/>
    <w:basedOn w:val="6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11">
    <w:name w:val="Указатель"/>
    <w:basedOn w:val="662"/>
    <w:qFormat/>
    <w:pPr>
      <w:suppressLineNumbers/>
    </w:pPr>
    <w:rPr>
      <w:rFonts w:cs="Lohit Devanagari"/>
    </w:rPr>
  </w:style>
  <w:style w:type="paragraph" w:styleId="712">
    <w:name w:val="Title"/>
    <w:basedOn w:val="6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62"/>
    <w:uiPriority w:val="11"/>
    <w:qFormat/>
    <w:pPr>
      <w:spacing w:before="200" w:after="200"/>
    </w:pPr>
    <w:rPr>
      <w:sz w:val="24"/>
      <w:szCs w:val="24"/>
    </w:rPr>
  </w:style>
  <w:style w:type="paragraph" w:styleId="714">
    <w:name w:val="Quote"/>
    <w:basedOn w:val="662"/>
    <w:uiPriority w:val="29"/>
    <w:qFormat/>
    <w:pPr>
      <w:ind w:left="720" w:right="720"/>
    </w:pPr>
    <w:rPr>
      <w:i/>
    </w:rPr>
  </w:style>
  <w:style w:type="paragraph" w:styleId="715">
    <w:name w:val="Intense Quote"/>
    <w:basedOn w:val="66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footnote text"/>
    <w:basedOn w:val="66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7">
    <w:name w:val="endnote text"/>
    <w:basedOn w:val="6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8">
    <w:name w:val="toc 1"/>
    <w:basedOn w:val="662"/>
    <w:uiPriority w:val="39"/>
    <w:unhideWhenUsed/>
    <w:pPr>
      <w:ind w:left="0" w:right="0" w:firstLine="0"/>
      <w:spacing w:before="0" w:after="57"/>
    </w:pPr>
  </w:style>
  <w:style w:type="paragraph" w:styleId="719">
    <w:name w:val="toc 2"/>
    <w:basedOn w:val="662"/>
    <w:uiPriority w:val="39"/>
    <w:unhideWhenUsed/>
    <w:pPr>
      <w:ind w:left="283" w:right="0" w:firstLine="0"/>
      <w:spacing w:before="0" w:after="57"/>
    </w:pPr>
  </w:style>
  <w:style w:type="paragraph" w:styleId="720">
    <w:name w:val="toc 3"/>
    <w:basedOn w:val="662"/>
    <w:uiPriority w:val="39"/>
    <w:unhideWhenUsed/>
    <w:pPr>
      <w:ind w:left="567" w:right="0" w:firstLine="0"/>
      <w:spacing w:before="0" w:after="57"/>
    </w:pPr>
  </w:style>
  <w:style w:type="paragraph" w:styleId="721">
    <w:name w:val="toc 4"/>
    <w:basedOn w:val="662"/>
    <w:uiPriority w:val="39"/>
    <w:unhideWhenUsed/>
    <w:pPr>
      <w:ind w:left="850" w:right="0" w:firstLine="0"/>
      <w:spacing w:before="0" w:after="57"/>
    </w:pPr>
  </w:style>
  <w:style w:type="paragraph" w:styleId="722">
    <w:name w:val="toc 5"/>
    <w:basedOn w:val="662"/>
    <w:uiPriority w:val="39"/>
    <w:unhideWhenUsed/>
    <w:pPr>
      <w:ind w:left="1134" w:right="0" w:firstLine="0"/>
      <w:spacing w:before="0" w:after="57"/>
    </w:pPr>
  </w:style>
  <w:style w:type="paragraph" w:styleId="723">
    <w:name w:val="toc 6"/>
    <w:basedOn w:val="662"/>
    <w:uiPriority w:val="39"/>
    <w:unhideWhenUsed/>
    <w:pPr>
      <w:ind w:left="1417" w:right="0" w:firstLine="0"/>
      <w:spacing w:before="0" w:after="57"/>
    </w:pPr>
  </w:style>
  <w:style w:type="paragraph" w:styleId="724">
    <w:name w:val="toc 7"/>
    <w:basedOn w:val="662"/>
    <w:uiPriority w:val="39"/>
    <w:unhideWhenUsed/>
    <w:pPr>
      <w:ind w:left="1701" w:right="0" w:firstLine="0"/>
      <w:spacing w:before="0" w:after="57"/>
    </w:pPr>
  </w:style>
  <w:style w:type="paragraph" w:styleId="725">
    <w:name w:val="toc 8"/>
    <w:basedOn w:val="662"/>
    <w:uiPriority w:val="39"/>
    <w:unhideWhenUsed/>
    <w:pPr>
      <w:ind w:left="1984" w:right="0" w:firstLine="0"/>
      <w:spacing w:before="0" w:after="57"/>
    </w:pPr>
  </w:style>
  <w:style w:type="paragraph" w:styleId="726">
    <w:name w:val="toc 9"/>
    <w:basedOn w:val="662"/>
    <w:uiPriority w:val="39"/>
    <w:unhideWhenUsed/>
    <w:pPr>
      <w:ind w:left="2268" w:right="0" w:firstLine="0"/>
      <w:spacing w:before="0" w:after="57"/>
    </w:pPr>
  </w:style>
  <w:style w:type="paragraph" w:styleId="727">
    <w:name w:val="Index Heading"/>
    <w:basedOn w:val="707"/>
  </w:style>
  <w:style w:type="paragraph" w:styleId="72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9">
    <w:name w:val="table of figures"/>
    <w:basedOn w:val="662"/>
    <w:uiPriority w:val="99"/>
    <w:unhideWhenUsed/>
    <w:pPr>
      <w:spacing w:before="0" w:after="0" w:afterAutospacing="0"/>
    </w:pPr>
  </w:style>
  <w:style w:type="paragraph" w:styleId="730">
    <w:name w:val="Колонтитул"/>
    <w:basedOn w:val="662"/>
    <w:qFormat/>
  </w:style>
  <w:style w:type="paragraph" w:styleId="731">
    <w:name w:val="Header"/>
    <w:basedOn w:val="662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732">
    <w:name w:val="Footer"/>
    <w:basedOn w:val="662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3">
    <w:name w:val="Balloon Text"/>
    <w:basedOn w:val="66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34">
    <w:name w:val="List Paragraph"/>
    <w:basedOn w:val="662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36" w:customStyle="1">
    <w:name w:val="Абзац 3"/>
    <w:basedOn w:val="662"/>
    <w:qFormat/>
    <w:pPr>
      <w:jc w:val="both"/>
    </w:pPr>
    <w:rPr>
      <w:rFonts w:eastAsia="Arial" w:cs="Arial" w:eastAsiaTheme="minorEastAsia" w:cstheme="minorBidi"/>
      <w:sz w:val="24"/>
      <w:szCs w:val="22"/>
    </w:rPr>
  </w:style>
  <w:style w:type="paragraph" w:styleId="737">
    <w:name w:val="Содержимое врезки"/>
    <w:basedOn w:val="662"/>
    <w:qFormat/>
  </w:style>
  <w:style w:type="paragraph" w:styleId="738">
    <w:name w:val="Абзац 4"/>
    <w:basedOn w:val="662"/>
    <w:qFormat/>
    <w:pPr>
      <w:jc w:val="both"/>
    </w:pPr>
  </w:style>
  <w:style w:type="numbering" w:styleId="739" w:default="1">
    <w:name w:val="No List"/>
    <w:uiPriority w:val="99"/>
    <w:semiHidden/>
    <w:unhideWhenUsed/>
    <w:qFormat/>
  </w:style>
  <w:style w:type="table" w:styleId="74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/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dc:description/>
  <dc:language>ru-RU</dc:language>
  <cp:revision>362</cp:revision>
  <dcterms:created xsi:type="dcterms:W3CDTF">2020-02-27T13:07:00Z</dcterms:created>
  <dcterms:modified xsi:type="dcterms:W3CDTF">2024-03-12T14:05:16Z</dcterms:modified>
</cp:coreProperties>
</file>