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bCs/>
        </w:rPr>
        <w:t>Сообщение о существенном факте</w:t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p>
      <w:pPr>
        <w:pStyle w:val="Normal"/>
        <w:ind w:left="-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277"/>
        <w:gridCol w:w="5637"/>
      </w:tblGrid>
      <w:tr>
        <w:trPr/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1. Общие сведения</w:t>
            </w:r>
          </w:p>
        </w:tc>
      </w:tr>
      <w:tr>
        <w:trPr>
          <w:trHeight w:val="690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>
          <w:trHeight w:val="415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1052600002180</w:t>
            </w:r>
          </w:p>
        </w:tc>
      </w:tr>
      <w:tr>
        <w:trPr>
          <w:trHeight w:val="70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1.4. Идентификационный номер налогоплательщика (ИНН) эмитента (при наличии)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2607018122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1.5. Уникальный код эмитента, присвоенный Банком России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65105-D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57"/>
              <w:rPr/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https://www.ogk2.ru</w:t>
              </w:r>
            </w:hyperlink>
          </w:p>
          <w:p>
            <w:pPr>
              <w:pStyle w:val="Normal"/>
              <w:ind w:right="85"/>
              <w:rPr/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13.05.2024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41" w:type="dxa"/>
        <w:jc w:val="left"/>
        <w:tblInd w:w="-59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0941"/>
      </w:tblGrid>
      <w:tr>
        <w:trPr/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5579" w:hRule="atLeast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/>
              <w:t xml:space="preserve">2.1. </w:t>
            </w:r>
            <w:r>
              <w:rPr>
                <w:rFonts w:eastAsia="Calibri"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>
            <w:pPr>
              <w:pStyle w:val="Normal"/>
              <w:tabs>
                <w:tab w:val="clear" w:pos="708"/>
                <w:tab w:val="left" w:pos="10772" w:leader="none"/>
              </w:tabs>
              <w:ind w:right="57"/>
              <w:rPr/>
            </w:pPr>
            <w:r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rPr/>
              <w:t>.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-28" w:right="57"/>
              <w:jc w:val="both"/>
              <w:rPr/>
            </w:pPr>
            <w:r>
              <w:rPr/>
              <w:t>2.2. Содержание решений, принятых советом директоров эмитента:</w:t>
            </w:r>
          </w:p>
          <w:p>
            <w:pPr>
              <w:pStyle w:val="Normal"/>
              <w:tabs>
                <w:tab w:val="left" w:pos="-142" w:leader="none"/>
                <w:tab w:val="left" w:pos="547" w:leader="none"/>
                <w:tab w:val="left" w:pos="708" w:leader="none"/>
              </w:tabs>
              <w:ind w:hanging="0" w:left="-283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BodyText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Вопрос: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О созыве годового Общего собрания акционеров Общества и других вопросах, связанных с подготовкой и проведением Общего собрания акционеров Общества.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Результаты голосования: За – 11, Против – 0, Воздержался – 0, не учитывались при голосовании – 0.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Принятое решение: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Созвать годовое Общее собрание акционеров ПАО «ОГК-2» в форме заочного голосования (далее – Собрание).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Определить дату проведения Собрания (дату окончания приема заполненных бюллетеней для голосования): 18 июня 2024 года.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Определить дату, на которую определяются (фиксируются) лица, имеющие право на участие в Собрании: 24 мая 2024 года.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Утвердить повестку дня Собрания: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120"/>
              <w:ind w:hanging="0" w:left="426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1. Об утверждении годового отчета Общества, годовой бухгалтерской (финансовой) отчетности Общества за 2023 год.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120"/>
              <w:ind w:hanging="0" w:left="426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2. О распределении прибыли (в том числе выплата (объявление) дивидендов) и убытков Общества по результатам 2023 года.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120"/>
              <w:ind w:hanging="0" w:left="426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3. Об избрании членов Совета директоров Общества.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120"/>
              <w:ind w:hanging="0" w:left="426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4. Об утверждении Устава Общества в новой редакции.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120"/>
              <w:ind w:hanging="0" w:left="426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5. О назначении аудиторской организации Общества.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120"/>
              <w:ind w:hanging="0" w:left="426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 О выплате членам Совета директоров Общества вознаграждений и компенсаций.</w:t>
            </w:r>
          </w:p>
          <w:p>
            <w:pPr>
              <w:pStyle w:val="4"/>
              <w:tabs>
                <w:tab w:val="clear" w:pos="708"/>
                <w:tab w:val="left" w:pos="284" w:leader="none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Утвердить форму и текст сообщения о проведении Собрания в соответствии с Приложением № 2 к решению Совета директоров ПАО «ОГК-2».</w:t>
            </w:r>
          </w:p>
          <w:p>
            <w:pPr>
              <w:pStyle w:val="4"/>
              <w:tabs>
                <w:tab w:val="clear" w:pos="708"/>
                <w:tab w:val="left" w:pos="284" w:leader="none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Определить следующий порядок сообщения акционерам Общества о проведении Собрания: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проведении Собрания размещается на официальном веб-сайте Общества в сети Интернет по адресу: www.ogk2.ru не позднее 17 мая 2024 года;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проведении Собрания направляется зарегистрированным в реестре акционеров Общества номинальным держателям акций в электронной форме (в форме электронных документов, подписанных электронной подписью) не позднее 27 мая 2024 года.</w:t>
            </w:r>
          </w:p>
          <w:p>
            <w:pPr>
              <w:pStyle w:val="4"/>
              <w:tabs>
                <w:tab w:val="clear" w:pos="708"/>
                <w:tab w:val="left" w:pos="284" w:leader="none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Определить, что в соответствии с п.18.1. статьи 18 Устава Общества бюллетени для голосования направляются лицам, имеющим право на участие в Собрании и зарегистрированным в реестре акционеров Общества: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виде электронного сообщения, содержащего электронный файл бюллетеня, по указанному в реестре акционеров Общества адресу электронной почты соответствующего лица, указанного в списке лиц, имеющих право на участие в Cобрании.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дату направления бюллетеней для голосования на Собрании в виде электронного сообщения, содержащего электронный файл бюллетеня, лицам, имеющим право на участие в Собрании, а также направления в электронной форме (в форме электронных документов) номинальным держателям акций, зарегистрированным в реестре акционеров Общества, не позднее 27 мая 2024 года.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Определить, что заполненные бюллетени для голосования должны быть направлены по адресу: 196605, г. Санкт-Петербург, вн.тер.г. поселок Шушары, ш. Петербургское, д.66, к. 1, литера А, ПАО «ОГК-2».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форма бюллетеней может быть заполнена на сайте регистратора www.draga.ru в информационно-телекоммуник</w:t>
            </w:r>
            <w:bookmarkStart w:id="0" w:name="_GoBack"/>
            <w:bookmarkEnd w:id="0"/>
            <w:r>
              <w:rPr>
                <w:sz w:val="20"/>
                <w:szCs w:val="20"/>
              </w:rPr>
              <w:t>ационной сети Интернет в разделе Акционерам =&gt; Услуги =&gt; Участие в собрании акционеров =&gt; Заполнить электронную форму бюллетеня =&gt; Сервис «Личный кабинет акционера» (ПАО «ОГК-2»)  или по ссылке: https://draga.ru/akcioneram/uslugi/uchastie-v-sobranii-akcionerov/golosovanie/pao-ogk-2/ (для участия в электронном голосовании акционер ПАО «ОГК-2» должен получить доступ к сервису «Личный кабинет акционера». С порядком получения доступа можно ознакомиться на странице https://draga.ru/akcioneram/jelektronnye-servisy/lichnyj-kabinet-akcionera/).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проведением Собрания в форме заочного голосования использование телекоммуникационных средств для обеспечения дистанционного доступа акционеров для участия в Собрании не предусмотрено.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осуществляющие права по ценным бумагам, если их права на ценные бумаги учитываются номинальным держателем, иностранным номинальным держателем, иностранной организацией, имеющей право в соответствии с ее личным законом осуществлять учет и переход прав на ценные бумаги, могут принять участие в Собрании и осуществить право голоса в порядке, установленном ст.8.9. ФЗ «О рынке ценных бумаг», с помощью электронных средств через депозитарную систему учета.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Определить, что принявшими участие в Собрании будут считаться акционеры, бюллетени которых получены или электронная форма бюллетеней которых заполнена не позднее 17 июня 2024 года,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17 июня 2024 года.</w:t>
            </w:r>
          </w:p>
          <w:p>
            <w:pPr>
              <w:pStyle w:val="4"/>
              <w:tabs>
                <w:tab w:val="clear" w:pos="708"/>
                <w:tab w:val="left" w:pos="284" w:leader="none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В связи с тем, что привилегированные акции Общества не выпускались, решения об определении типа (типов) привилегированных акций, владельцы которых обладают правом голоса по вопросам повестки дня Собрания, не принимать.</w:t>
            </w:r>
          </w:p>
          <w:p>
            <w:pPr>
              <w:pStyle w:val="4"/>
              <w:tabs>
                <w:tab w:val="clear" w:pos="708"/>
                <w:tab w:val="left" w:pos="284" w:leader="none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Определить, что информацией (материалами), предоставляемой лицам, имеющим право на участие в Собрании, является: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сообщение о переходе с 01.09.2023 года на рассылку бюллетеней в виде электронного сообщения;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и годовая бухгалтерская (финансовая) отчетность Общества за 2023 год, в том числе аудиторское заключение по результатам проверки такой отчетности;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внутреннего аудита, осуществляемого в публичном обществе в соответствии со статьей 87.1 Федерального закона № 208-ФЗ от 26.12.1995 «Об акционерных обществах»;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заключенных Обществом в отчетном году сделках, в совершении которых имелась заинтересованность, утвержденный Советом директоров Общества;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кандидатах в Совет директоров Общества, в том числе об опыте и биографии кандидатов в Совет директоров Общества, информация о занимаемых кандидатами должностях за период не менее 5 последних лет, информация о наличии или отсутствии письменного согласия выдвинутых кандидатов на избрание, а также сведения о соответствии кандидата в Совет директоров требованиям, предъявляемым к независимым директорам, сведения о лице (группе лиц), выдвинувших кандидата;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требованиях законодательства к составу Совета директоров, а также требованиях и рекомендациях регулятора рынка ценных бумаг, на которых обращаются ценные бумаги Общества, и последствия их несоблюдения;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кандидатуре аудиторской организации Общества;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процедур, используемых при избрании аудиторской организации Общества  и обеспечивающих их независимость и объективность, информация о факторах, которые могут оказать влияние на независимость аудиторской организации либо об отсутствии таковых, сведения о вознаграждении (отчетного периода и предлагаемого на предстоящий период) аудиторской организации за услуги аудиторского и неаудиторского характера, обо всех услугах, оказанных аудиторской организацией в отчетном периоде и оказываемых на данный момент, информация о существенных условиях проекта договора с аудиторской организацией;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новой редакции Устава, таблица сравнения вносимых изменений в Устав Общества, с текущей редакцией, обоснование необходимости принятия соответствующего решения;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 решений по вопросам повестки дня Собрания;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комитетов Совета директоров по вопросам повестки дня Собрания;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рекомендации, предложения и позиция Совета директоров Общества по вопросам повестки дня Собрания;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предусмотренная статьей 32.1 Федерального закона «Об акционерных обществах» информация об акционерных соглашениях, заключенных в течение года до даты проведения Собрания;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разъяснения о важности своевременного извещения регистратора Общества об изменении данных акционеров (паспортные данные, адрес регистрации и почтовый адрес, реквизиты банковского счета и т.п.), а также последствий и рисков, связанных с несвоевременным извещением об изменении таких данных;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before="20" w:after="20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форма доверенности, которую акционер может выдать своему представителю для участия в общем собрании, информация о порядке удостоверения такой доверенности.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Определить, что с указанной информацией (материалами), лица, имеющие право на участие в Собрании, могут ознакомиться в течение 20 дней до даты проведения Собрания по месту нахождения Генерального директора по адресу: 199106, г. Санкт-Петербург, вн. тер. г. муниципальный округ Гавань, ул. Шкиперский проток, д. 12, к. 2, стр. 1, этаж 7, помещ. 2273 и по адресу: г. Санкт-Петербург, вн.тер.г. поселок Шушары, ш. Петербургское, д.66, к. 1, литера А, ПАО «ОГК-2».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Определить, что указанная информация (материалы) также рассылается номинальным держателям акций в электронном виде не позднее 28 мая 2024 года.</w:t>
            </w:r>
          </w:p>
          <w:p>
            <w:pPr>
              <w:pStyle w:val="4"/>
              <w:spacing w:before="20" w:after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ind w:firstLine="21" w:right="5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  <w:sz w:val="20"/>
                <w:szCs w:val="20"/>
              </w:rPr>
              <w:t xml:space="preserve"> 13.05.2024.</w:t>
            </w:r>
          </w:p>
          <w:p>
            <w:pPr>
              <w:pStyle w:val="Normal"/>
              <w:ind w:firstLine="21" w:right="5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  <w:sz w:val="20"/>
                <w:szCs w:val="20"/>
              </w:rPr>
              <w:t>Протокол от 13.05.2024 № 321.</w:t>
            </w:r>
          </w:p>
          <w:p>
            <w:pPr>
              <w:pStyle w:val="Normal"/>
              <w:ind w:firstLine="21" w:right="57"/>
              <w:jc w:val="both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2.5. </w:t>
            </w:r>
            <w:r>
              <w:rPr>
                <w:sz w:val="20"/>
                <w:szCs w:val="20"/>
              </w:rPr>
              <w:t xml:space="preserve">В случае принятия советом директоров решений, связанных с осуществлением прав по ценным бумагам эмитента, в отношении таких ценных бумаг дополнительно должны быть указаны идентификационные признаки ценных бумаг: </w:t>
            </w:r>
            <w:r>
              <w:rPr>
                <w:b/>
                <w:sz w:val="20"/>
                <w:szCs w:val="20"/>
              </w:rPr>
              <w:t xml:space="preserve">акции обыкновенные, государственный регистрационный номер 1-02-65105-D от 19.04.2007, международный код (номер) идентификации ценных бумаг (ISIN): RU000A0JNG55, международный код классификации финансовых инструментов (CFI) ESVXFR;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регистрационный номер дополнительного выпуска ценных бумаг 1-02-65105-D-006D от 14.03.2024 г., международный код (номер) идентификации ценных бумаг (ISIN): RU000A1082F7, международный код классификации финансовых инструментов (CFI): ESVXFR.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628"/>
        <w:gridCol w:w="608"/>
        <w:gridCol w:w="293"/>
        <w:gridCol w:w="1318"/>
        <w:gridCol w:w="416"/>
        <w:gridCol w:w="307"/>
        <w:gridCol w:w="1209"/>
        <w:gridCol w:w="1339"/>
        <w:gridCol w:w="462"/>
        <w:gridCol w:w="3066"/>
        <w:gridCol w:w="268"/>
      </w:tblGrid>
      <w:tr>
        <w:trPr>
          <w:cantSplit w:val="true"/>
        </w:trPr>
        <w:tc>
          <w:tcPr>
            <w:tcW w:w="109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3. Подпись</w:t>
            </w:r>
          </w:p>
        </w:tc>
      </w:tr>
      <w:tr>
        <w:trPr>
          <w:cantSplit w:val="true"/>
        </w:trPr>
        <w:tc>
          <w:tcPr>
            <w:tcW w:w="577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i/>
                <w:i/>
                <w:szCs w:val="22"/>
                <w:lang w:eastAsia="ko-KR"/>
              </w:rPr>
            </w:pPr>
            <w:r>
              <w:rPr>
                <w:b/>
                <w:i/>
                <w:szCs w:val="22"/>
                <w:lang w:eastAsia="ko-KR"/>
              </w:rPr>
            </w:r>
          </w:p>
        </w:tc>
        <w:tc>
          <w:tcPr>
            <w:tcW w:w="306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zCs w:val="22"/>
                <w:lang w:eastAsia="ko-KR"/>
              </w:rPr>
              <w:t>М.А. Чалый</w:t>
            </w:r>
          </w:p>
        </w:tc>
        <w:tc>
          <w:tcPr>
            <w:tcW w:w="26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779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1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6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268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" w:hRule="atLeast"/>
          <w:cantSplit w:val="true"/>
        </w:trPr>
        <w:tc>
          <w:tcPr>
            <w:tcW w:w="162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893" w:leader="none"/>
                <w:tab w:val="left" w:pos="1532" w:leader="none"/>
              </w:tabs>
              <w:ind w:left="57"/>
              <w:rPr/>
            </w:pPr>
            <w:r>
              <w:rPr/>
              <w:t>3.2. Дата</w:t>
            </w:r>
          </w:p>
        </w:tc>
        <w:tc>
          <w:tcPr>
            <w:tcW w:w="608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«1</w:t>
            </w:r>
            <w:r>
              <w:rPr>
                <w:lang w:val="en-US"/>
              </w:rPr>
              <w:t>4</w:t>
            </w:r>
            <w:r>
              <w:rPr/>
              <w:t>»</w:t>
            </w:r>
          </w:p>
        </w:tc>
        <w:tc>
          <w:tcPr>
            <w:tcW w:w="293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8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мая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  <w:tc>
          <w:tcPr>
            <w:tcW w:w="1339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6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77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7"/>
              <w:rPr/>
            </w:pPr>
            <w:r>
              <w:rPr/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284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1134" w:right="851" w:gutter="0" w:header="284" w:top="341" w:footer="284" w:bottom="34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Style12ptBoldItalic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5">
    <w:name w:val="Содержимое врезки"/>
    <w:basedOn w:val="Normal"/>
    <w:qFormat/>
    <w:pPr/>
    <w:rPr/>
  </w:style>
  <w:style w:type="paragraph" w:styleId="4">
    <w:name w:val="Абзац 4"/>
    <w:basedOn w:val="Normal"/>
    <w:qFormat/>
    <w:pPr>
      <w:jc w:val="both"/>
    </w:pPr>
    <w:rPr/>
  </w:style>
  <w:style w:type="paragraph" w:styleId="3">
    <w:name w:val="Абзац 3"/>
    <w:basedOn w:val="Normal"/>
    <w:qFormat/>
    <w:pPr>
      <w:jc w:val="both"/>
    </w:pPr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279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3BC5-EFF1-46FF-8754-C3C401C5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LibreOffice/7.6.4.1$Linux_X86_64 LibreOffice_project/60$Build-1</Application>
  <AppVersion>15.0000</AppVersion>
  <Pages>3</Pages>
  <Words>1384</Words>
  <Characters>9501</Characters>
  <CharactersWithSpaces>10794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Белокур Елена Викторовна</dc:creator>
  <dc:description/>
  <dc:language>ru-RU</dc:language>
  <cp:lastModifiedBy/>
  <cp:lastPrinted>2024-05-14T17:47:30Z</cp:lastPrinted>
  <dcterms:modified xsi:type="dcterms:W3CDTF">2024-05-14T17:47:24Z</dcterms:modified>
  <cp:revision>328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