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77777777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</w:t>
            </w:r>
            <w:r w:rsidR="005A232E">
              <w:rPr>
                <w:rStyle w:val="af0"/>
                <w:rFonts w:ascii="Times New Roman" w:hAnsi="Times New Roman"/>
                <w:b/>
                <w:bCs/>
                <w:szCs w:val="20"/>
              </w:rPr>
              <w:footnoteReference w:id="1"/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60892042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D26056">
        <w:rPr>
          <w:rFonts w:ascii="Times New Roman" w:hAnsi="Times New Roman"/>
          <w:sz w:val="24"/>
          <w:szCs w:val="24"/>
        </w:rPr>
        <w:t>._________________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502FDB">
        <w:rPr>
          <w:rFonts w:ascii="Times New Roman" w:hAnsi="Times New Roman"/>
          <w:sz w:val="24"/>
          <w:szCs w:val="24"/>
        </w:rPr>
        <w:t>____ 2</w:t>
      </w:r>
      <w:r w:rsidR="00740D3B" w:rsidRPr="00740D3B">
        <w:rPr>
          <w:rFonts w:ascii="Times New Roman" w:hAnsi="Times New Roman"/>
          <w:sz w:val="24"/>
          <w:szCs w:val="24"/>
        </w:rPr>
        <w:t>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23966DB5" w:rsidR="00B52AF1" w:rsidRDefault="00502FDB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  <w:r w:rsidR="001E09D4" w:rsidRPr="00B86E0D">
        <w:rPr>
          <w:rFonts w:ascii="Times New Roman" w:hAnsi="Times New Roman"/>
          <w:sz w:val="24"/>
          <w:szCs w:val="24"/>
        </w:rPr>
        <w:t xml:space="preserve"> именуемое в дальнейшем «Теплоснабжающая организация», в лице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A5088C" w:rsidRPr="00B86E0D">
        <w:rPr>
          <w:rFonts w:ascii="Times New Roman" w:hAnsi="Times New Roman"/>
          <w:sz w:val="24"/>
          <w:szCs w:val="24"/>
        </w:rPr>
        <w:t>, действующей</w:t>
      </w:r>
      <w:r w:rsidR="001E09D4" w:rsidRPr="00B86E0D">
        <w:rPr>
          <w:rFonts w:ascii="Times New Roman" w:hAnsi="Times New Roman"/>
          <w:sz w:val="24"/>
          <w:szCs w:val="24"/>
        </w:rPr>
        <w:t xml:space="preserve"> на основании доверенности</w:t>
      </w:r>
      <w:r w:rsidR="00A5088C" w:rsidRPr="00B86E0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________________</w:t>
      </w:r>
      <w:r w:rsidR="001E09D4" w:rsidRPr="00B86E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</w:t>
      </w:r>
      <w:r w:rsidR="00A5088C" w:rsidRPr="00B86E0D">
        <w:rPr>
          <w:rFonts w:ascii="Times New Roman" w:hAnsi="Times New Roman"/>
          <w:sz w:val="24"/>
          <w:szCs w:val="24"/>
        </w:rPr>
        <w:t xml:space="preserve"> года</w:t>
      </w:r>
      <w:r w:rsidR="001E09D4" w:rsidRPr="00B86E0D">
        <w:rPr>
          <w:rFonts w:ascii="Times New Roman" w:hAnsi="Times New Roman"/>
          <w:sz w:val="24"/>
          <w:szCs w:val="24"/>
        </w:rPr>
        <w:t>,</w:t>
      </w:r>
      <w:r w:rsidR="001E09D4" w:rsidRPr="00403839">
        <w:rPr>
          <w:rFonts w:ascii="Times New Roman" w:hAnsi="Times New Roman"/>
          <w:sz w:val="24"/>
          <w:szCs w:val="24"/>
        </w:rPr>
        <w:t xml:space="preserve">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0C6D06">
        <w:rPr>
          <w:rFonts w:ascii="Times New Roman" w:hAnsi="Times New Roman"/>
          <w:i/>
          <w:sz w:val="24"/>
          <w:szCs w:val="24"/>
        </w:rPr>
        <w:t>(в том числе в качестве компонента</w:t>
      </w:r>
      <w:r w:rsidR="00B0682C" w:rsidRPr="000C6D06">
        <w:rPr>
          <w:rFonts w:ascii="Times New Roman" w:hAnsi="Times New Roman"/>
          <w:i/>
          <w:sz w:val="24"/>
          <w:szCs w:val="24"/>
        </w:rPr>
        <w:t>,</w:t>
      </w:r>
      <w:r w:rsidR="00B71198" w:rsidRPr="000C6D06">
        <w:rPr>
          <w:rFonts w:ascii="Times New Roman" w:hAnsi="Times New Roman"/>
          <w:i/>
          <w:sz w:val="24"/>
          <w:szCs w:val="24"/>
        </w:rPr>
        <w:t xml:space="preserve"> используемого на подогрев </w:t>
      </w:r>
      <w:r w:rsidR="00587806" w:rsidRPr="000C6D06">
        <w:rPr>
          <w:rFonts w:ascii="Times New Roman" w:hAnsi="Times New Roman"/>
          <w:i/>
          <w:sz w:val="24"/>
          <w:szCs w:val="24"/>
        </w:rPr>
        <w:t>воды)</w:t>
      </w:r>
      <w:r w:rsidR="00587806" w:rsidRPr="000C6D06">
        <w:rPr>
          <w:rFonts w:ascii="Times New Roman" w:hAnsi="Times New Roman"/>
          <w:sz w:val="24"/>
          <w:szCs w:val="24"/>
        </w:rPr>
        <w:t xml:space="preserve"> </w:t>
      </w:r>
      <w:r w:rsidR="00587806" w:rsidRPr="000C6D06">
        <w:rPr>
          <w:rFonts w:ascii="Times New Roman" w:hAnsi="Times New Roman"/>
          <w:i/>
          <w:sz w:val="24"/>
          <w:szCs w:val="24"/>
        </w:rPr>
        <w:t>и</w:t>
      </w:r>
      <w:r w:rsidR="000D2C50" w:rsidRPr="000C6D06">
        <w:rPr>
          <w:rFonts w:ascii="Times New Roman" w:hAnsi="Times New Roman"/>
          <w:i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6D06">
        <w:rPr>
          <w:rFonts w:ascii="Times New Roman" w:hAnsi="Times New Roman"/>
          <w:i/>
          <w:sz w:val="24"/>
          <w:szCs w:val="24"/>
        </w:rPr>
        <w:t xml:space="preserve">коммунальная услуга по горячему водоснабжению </w:t>
      </w:r>
      <w:r w:rsidR="00AD620A" w:rsidRPr="000C6D06">
        <w:rPr>
          <w:rFonts w:ascii="Times New Roman" w:hAnsi="Times New Roman"/>
          <w:i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3787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2E135A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2E135A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5A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2E135A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135A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2E135A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135A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lastRenderedPageBreak/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680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3"/>
        <w:gridCol w:w="1793"/>
        <w:gridCol w:w="1196"/>
        <w:gridCol w:w="1539"/>
        <w:gridCol w:w="1269"/>
        <w:gridCol w:w="2245"/>
        <w:gridCol w:w="1068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4217114A" w14:textId="162F717C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AE5174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AE5174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F47A0D">
        <w:rPr>
          <w:rFonts w:ascii="Times New Roman" w:hAnsi="Times New Roman" w:cs="Times New Roman"/>
          <w:i/>
          <w:sz w:val="24"/>
          <w:szCs w:val="24"/>
        </w:rPr>
        <w:t>.</w:t>
      </w:r>
      <w:r w:rsidR="00777C5B" w:rsidRPr="0023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</w:t>
      </w:r>
      <w:r w:rsidRPr="00405F70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10B65326" w:rsidR="007D0260" w:rsidRDefault="00947932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агент (</w:t>
      </w:r>
      <w:r w:rsidR="00162B5C">
        <w:rPr>
          <w:rFonts w:ascii="Times New Roman" w:hAnsi="Times New Roman" w:cs="Times New Roman"/>
          <w:sz w:val="24"/>
          <w:szCs w:val="24"/>
          <w:u w:val="single"/>
        </w:rPr>
        <w:t>_________________________)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выписывает </w:t>
      </w:r>
      <w:r w:rsidR="006020DC"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4641">
        <w:rPr>
          <w:rFonts w:ascii="Times New Roman" w:hAnsi="Times New Roman" w:cs="Times New Roman"/>
          <w:sz w:val="24"/>
          <w:szCs w:val="24"/>
        </w:rPr>
        <w:t>5</w:t>
      </w:r>
      <w:r w:rsidR="000C6D06" w:rsidRPr="00AE5174">
        <w:rPr>
          <w:rFonts w:ascii="Times New Roman" w:hAnsi="Times New Roman" w:cs="Times New Roman"/>
          <w:sz w:val="24"/>
          <w:szCs w:val="24"/>
        </w:rPr>
        <w:t xml:space="preserve"> </w:t>
      </w:r>
      <w:r w:rsidR="00B86972" w:rsidRPr="00AE5174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>
        <w:rPr>
          <w:rFonts w:ascii="Times New Roman" w:hAnsi="Times New Roman" w:cs="Times New Roman"/>
          <w:sz w:val="24"/>
          <w:szCs w:val="24"/>
        </w:rPr>
        <w:t>расчетным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 w:rsidR="006020DC"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4DD03321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="000569E7">
        <w:rPr>
          <w:rFonts w:ascii="Times New Roman" w:hAnsi="Times New Roman" w:cs="Times New Roman"/>
          <w:sz w:val="24"/>
          <w:szCs w:val="24"/>
        </w:rPr>
        <w:t xml:space="preserve">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E5174" w:rsidRPr="00AE5174">
        <w:rPr>
          <w:rFonts w:ascii="Times New Roman" w:hAnsi="Times New Roman" w:cs="Times New Roman"/>
          <w:sz w:val="24"/>
          <w:szCs w:val="24"/>
        </w:rPr>
        <w:t>последнего дня месяца, следующего за расчетным включительно.</w:t>
      </w:r>
    </w:p>
    <w:p w14:paraId="537DF0C9" w14:textId="62DCEA9C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</w:t>
      </w:r>
      <w:r w:rsidR="00947932">
        <w:rPr>
          <w:rFonts w:ascii="Times New Roman" w:hAnsi="Times New Roman" w:cs="Times New Roman"/>
          <w:sz w:val="24"/>
          <w:szCs w:val="24"/>
        </w:rPr>
        <w:t>,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59411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9411F" w:rsidRPr="005941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931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093931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093931">
        <w:rPr>
          <w:rFonts w:ascii="Times New Roman" w:hAnsi="Times New Roman" w:cs="Times New Roman"/>
          <w:sz w:val="24"/>
          <w:szCs w:val="24"/>
        </w:rPr>
        <w:t>адресу:</w:t>
      </w:r>
      <w:r w:rsidR="0009393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lastRenderedPageBreak/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>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</w:t>
      </w:r>
      <w:r w:rsidRPr="000C6D06">
        <w:rPr>
          <w:rFonts w:ascii="Times New Roman" w:hAnsi="Times New Roman"/>
          <w:sz w:val="24"/>
          <w:szCs w:val="24"/>
        </w:rPr>
        <w:lastRenderedPageBreak/>
        <w:t>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 xml:space="preserve">устройства, </w:t>
      </w:r>
      <w:r w:rsidRPr="000C6D06">
        <w:rPr>
          <w:rFonts w:ascii="Times New Roman" w:hAnsi="Times New Roman"/>
          <w:sz w:val="24"/>
          <w:szCs w:val="24"/>
        </w:rPr>
        <w:lastRenderedPageBreak/>
        <w:t>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67A48FBE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</w:t>
      </w:r>
      <w:r w:rsidRPr="00AE5174">
        <w:rPr>
          <w:rFonts w:ascii="Times New Roman" w:hAnsi="Times New Roman"/>
          <w:color w:val="000000"/>
          <w:sz w:val="24"/>
          <w:szCs w:val="24"/>
        </w:rPr>
        <w:t>с 23-го по 25-е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число текущего месяца и передавать полученные показания в Теплоснабжающую организацию или уполномоченному им лицу не позднее 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2</w:t>
      </w:r>
      <w:r w:rsidR="00602B2E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</w:t>
      </w:r>
      <w:r w:rsidRPr="00AE5174">
        <w:rPr>
          <w:rFonts w:ascii="Times New Roman" w:hAnsi="Times New Roman"/>
          <w:color w:val="000000"/>
          <w:sz w:val="24"/>
          <w:szCs w:val="24"/>
        </w:rPr>
        <w:t>(</w:t>
      </w:r>
      <w:r w:rsidR="0059411F" w:rsidRPr="00AE5174">
        <w:rPr>
          <w:rFonts w:ascii="Times New Roman" w:hAnsi="Times New Roman"/>
          <w:color w:val="000000"/>
          <w:sz w:val="24"/>
          <w:szCs w:val="24"/>
        </w:rPr>
        <w:t xml:space="preserve">по телефону </w:t>
      </w:r>
      <w:r w:rsidR="00DB681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AE5174">
        <w:rPr>
          <w:rFonts w:ascii="Times New Roman" w:hAnsi="Times New Roman"/>
          <w:color w:val="000000"/>
          <w:sz w:val="24"/>
          <w:szCs w:val="24"/>
        </w:rPr>
        <w:t>);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</w:t>
      </w:r>
      <w:r w:rsidRPr="000C6D06">
        <w:rPr>
          <w:rFonts w:ascii="Times New Roman" w:hAnsi="Times New Roman"/>
          <w:sz w:val="24"/>
          <w:szCs w:val="24"/>
        </w:rPr>
        <w:lastRenderedPageBreak/>
        <w:t>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6278DADF" w14:textId="199D5CE5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с 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Pr="005A232E">
        <w:rPr>
          <w:rFonts w:ascii="Times New Roman" w:hAnsi="Times New Roman"/>
          <w:i/>
          <w:sz w:val="24"/>
          <w:szCs w:val="24"/>
        </w:rPr>
        <w:t>2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3E7424">
        <w:rPr>
          <w:rFonts w:ascii="Times New Roman" w:hAnsi="Times New Roman"/>
          <w:sz w:val="24"/>
          <w:szCs w:val="24"/>
        </w:rPr>
        <w:t xml:space="preserve">,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7C290BFF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D5230">
        <w:rPr>
          <w:rFonts w:ascii="Times New Roman" w:hAnsi="Times New Roman"/>
          <w:sz w:val="24"/>
          <w:szCs w:val="24"/>
        </w:rPr>
        <w:t>______________</w:t>
      </w:r>
      <w:r w:rsidR="00ED5230" w:rsidRPr="00A5103B">
        <w:rPr>
          <w:rFonts w:ascii="Times New Roman" w:hAnsi="Times New Roman"/>
          <w:sz w:val="24"/>
          <w:szCs w:val="24"/>
        </w:rPr>
        <w:t xml:space="preserve"> 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4A669784" w:rsidR="00046A1B" w:rsidRPr="002E135A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</w:t>
      </w:r>
      <w:r w:rsidR="00071AC3">
        <w:rPr>
          <w:rFonts w:ascii="Times New Roman" w:hAnsi="Times New Roman"/>
          <w:sz w:val="24"/>
          <w:szCs w:val="24"/>
        </w:rPr>
        <w:t>______________________</w:t>
      </w:r>
      <w:r w:rsidR="00695081" w:rsidRPr="002E135A">
        <w:rPr>
          <w:rFonts w:ascii="Times New Roman" w:hAnsi="Times New Roman"/>
          <w:sz w:val="24"/>
          <w:szCs w:val="24"/>
        </w:rPr>
        <w:t>;</w:t>
      </w:r>
    </w:p>
    <w:p w14:paraId="28596FB5" w14:textId="706180DA" w:rsidR="00361146" w:rsidRPr="002E135A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5A">
        <w:rPr>
          <w:rFonts w:ascii="Times New Roman" w:hAnsi="Times New Roman"/>
          <w:sz w:val="24"/>
          <w:szCs w:val="24"/>
        </w:rPr>
        <w:t>выполнения иных условий Договора</w:t>
      </w:r>
      <w:r w:rsidR="00071AC3">
        <w:rPr>
          <w:rFonts w:ascii="Times New Roman" w:hAnsi="Times New Roman"/>
          <w:sz w:val="24"/>
          <w:szCs w:val="24"/>
        </w:rPr>
        <w:t>_____________________________________</w:t>
      </w:r>
      <w:r w:rsidRPr="002E135A"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38172345" w14:textId="77777777" w:rsidR="00B86E0D" w:rsidRPr="000C6D06" w:rsidRDefault="00B86E0D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Pr="00B86E0D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86E0D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B86E0D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3575365C" w14:textId="77777777" w:rsidR="00A5088C" w:rsidRPr="003F0509" w:rsidRDefault="00A5088C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0509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  <w:p w14:paraId="2E1B0459" w14:textId="77777777" w:rsidR="00A5088C" w:rsidRPr="00B86E0D" w:rsidRDefault="00A5088C" w:rsidP="000B6E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D49463" w14:textId="77777777" w:rsidR="005508AF" w:rsidRPr="00B86E0D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02F1B9CB" w:rsidR="005508AF" w:rsidRPr="00B86E0D" w:rsidRDefault="00B86E0D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 w:rsidR="00071A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</w:t>
            </w:r>
            <w:r w:rsidR="005508AF" w:rsidRPr="00B8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508AF"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2C49788B" w14:textId="77777777" w:rsidR="005508AF" w:rsidRPr="00B86E0D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B86E0D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B86E0D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B6EE9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3E04327B" w14:textId="77777777" w:rsidR="000B6EE9" w:rsidRDefault="000B6EE9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B86E0D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0B6E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E0D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0B6E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774F17" w:rsidRPr="00C66344" w:rsidSect="00FE3368">
      <w:headerReference w:type="default" r:id="rId12"/>
      <w:footerReference w:type="default" r:id="rId13"/>
      <w:pgSz w:w="11906" w:h="16838" w:code="9"/>
      <w:pgMar w:top="567" w:right="851" w:bottom="680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8B2CE" w14:textId="77777777" w:rsidR="00B62605" w:rsidRDefault="00B62605" w:rsidP="00740D3B">
      <w:pPr>
        <w:spacing w:after="0" w:line="240" w:lineRule="auto"/>
      </w:pPr>
      <w:r>
        <w:separator/>
      </w:r>
    </w:p>
  </w:endnote>
  <w:endnote w:type="continuationSeparator" w:id="0">
    <w:p w14:paraId="37D9FB3C" w14:textId="77777777" w:rsidR="00B62605" w:rsidRDefault="00B62605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752241"/>
      <w:docPartObj>
        <w:docPartGallery w:val="Page Numbers (Bottom of Page)"/>
        <w:docPartUnique/>
      </w:docPartObj>
    </w:sdtPr>
    <w:sdtEndPr/>
    <w:sdtContent>
      <w:p w14:paraId="785FF1A4" w14:textId="2F6689A1" w:rsidR="00FE3368" w:rsidRDefault="00FE336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E9">
          <w:rPr>
            <w:noProof/>
          </w:rPr>
          <w:t>1</w:t>
        </w:r>
        <w:r>
          <w:fldChar w:fldCharType="end"/>
        </w:r>
      </w:p>
    </w:sdtContent>
  </w:sdt>
  <w:p w14:paraId="0834D971" w14:textId="2D4A80C7" w:rsidR="00947932" w:rsidRDefault="00947932" w:rsidP="00947932">
    <w:pPr>
      <w:pStyle w:val="af3"/>
      <w:ind w:left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C42D" w14:textId="77777777" w:rsidR="00B62605" w:rsidRDefault="00B62605" w:rsidP="00740D3B">
      <w:pPr>
        <w:spacing w:after="0" w:line="240" w:lineRule="auto"/>
      </w:pPr>
      <w:r>
        <w:separator/>
      </w:r>
    </w:p>
  </w:footnote>
  <w:footnote w:type="continuationSeparator" w:id="0">
    <w:p w14:paraId="3E656162" w14:textId="77777777" w:rsidR="00B62605" w:rsidRDefault="00B62605" w:rsidP="00740D3B">
      <w:pPr>
        <w:spacing w:after="0" w:line="240" w:lineRule="auto"/>
      </w:pPr>
      <w:r>
        <w:continuationSeparator/>
      </w:r>
    </w:p>
  </w:footnote>
  <w:footnote w:id="1">
    <w:p w14:paraId="7A9ECAE2" w14:textId="77777777" w:rsidR="005A232E" w:rsidRDefault="005A232E" w:rsidP="005A232E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61E35">
        <w:t>Условия договора, выделенные курсивом, являются изменяемыми в зависимости от вида предоставляемых коммунальных услуг и формы договорной конструкции на филиале (наличие агента), удаление данного пункта в целом или части из текста настоящего договора допускается. Остальные условия договора являются стандартными и изменению или удалению не подлежат.</w:t>
      </w:r>
    </w:p>
    <w:p w14:paraId="38DA404E" w14:textId="77777777" w:rsidR="005A232E" w:rsidRDefault="005A232E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7FDE5" w14:textId="661A8F05" w:rsidR="00FE3368" w:rsidRDefault="000B6EE9" w:rsidP="000B6EE9">
    <w:pPr>
      <w:pStyle w:val="af1"/>
      <w:jc w:val="right"/>
    </w:pPr>
    <w:r>
      <w:t>Типовая форма договора</w:t>
    </w:r>
  </w:p>
  <w:p w14:paraId="32FAA1D3" w14:textId="77777777" w:rsidR="000B6EE9" w:rsidRDefault="000B6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57589"/>
    <w:multiLevelType w:val="hybridMultilevel"/>
    <w:tmpl w:val="8FE4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8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9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2"/>
  </w:num>
  <w:num w:numId="3">
    <w:abstractNumId w:val="46"/>
  </w:num>
  <w:num w:numId="4">
    <w:abstractNumId w:val="12"/>
  </w:num>
  <w:num w:numId="5">
    <w:abstractNumId w:val="49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8"/>
  </w:num>
  <w:num w:numId="18">
    <w:abstractNumId w:val="21"/>
  </w:num>
  <w:num w:numId="19">
    <w:abstractNumId w:val="46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1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3"/>
  </w:num>
  <w:num w:numId="40">
    <w:abstractNumId w:val="50"/>
  </w:num>
  <w:num w:numId="41">
    <w:abstractNumId w:val="20"/>
  </w:num>
  <w:num w:numId="42">
    <w:abstractNumId w:val="4"/>
  </w:num>
  <w:num w:numId="43">
    <w:abstractNumId w:val="37"/>
  </w:num>
  <w:num w:numId="44">
    <w:abstractNumId w:val="45"/>
  </w:num>
  <w:num w:numId="45">
    <w:abstractNumId w:val="26"/>
  </w:num>
  <w:num w:numId="46">
    <w:abstractNumId w:val="14"/>
  </w:num>
  <w:num w:numId="47">
    <w:abstractNumId w:val="24"/>
  </w:num>
  <w:num w:numId="48">
    <w:abstractNumId w:val="47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1AC3"/>
    <w:rsid w:val="00074ED6"/>
    <w:rsid w:val="000767F3"/>
    <w:rsid w:val="00076DCB"/>
    <w:rsid w:val="00080683"/>
    <w:rsid w:val="00090E23"/>
    <w:rsid w:val="00090E7A"/>
    <w:rsid w:val="00093931"/>
    <w:rsid w:val="000A667C"/>
    <w:rsid w:val="000B15A1"/>
    <w:rsid w:val="000B4B8A"/>
    <w:rsid w:val="000B6EE9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2B5C"/>
    <w:rsid w:val="00166178"/>
    <w:rsid w:val="00170C51"/>
    <w:rsid w:val="00183CC3"/>
    <w:rsid w:val="0018489F"/>
    <w:rsid w:val="001854EF"/>
    <w:rsid w:val="0018790A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135A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09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2FDB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411F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4641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56A1A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B0346"/>
    <w:rsid w:val="008B0756"/>
    <w:rsid w:val="008B2457"/>
    <w:rsid w:val="008B53F9"/>
    <w:rsid w:val="008D1B56"/>
    <w:rsid w:val="008D6FB7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932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9F750C"/>
    <w:rsid w:val="00A11E5E"/>
    <w:rsid w:val="00A15EB0"/>
    <w:rsid w:val="00A2497B"/>
    <w:rsid w:val="00A3570E"/>
    <w:rsid w:val="00A379C3"/>
    <w:rsid w:val="00A4040A"/>
    <w:rsid w:val="00A43F72"/>
    <w:rsid w:val="00A5088C"/>
    <w:rsid w:val="00A5103B"/>
    <w:rsid w:val="00A740FC"/>
    <w:rsid w:val="00A838BA"/>
    <w:rsid w:val="00A8663F"/>
    <w:rsid w:val="00A86C76"/>
    <w:rsid w:val="00A8760B"/>
    <w:rsid w:val="00A901D5"/>
    <w:rsid w:val="00A94AD2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E5174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2605"/>
    <w:rsid w:val="00B65E07"/>
    <w:rsid w:val="00B71198"/>
    <w:rsid w:val="00B72D95"/>
    <w:rsid w:val="00B76672"/>
    <w:rsid w:val="00B824AF"/>
    <w:rsid w:val="00B82CF7"/>
    <w:rsid w:val="00B86972"/>
    <w:rsid w:val="00B86E0D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A6AD9"/>
    <w:rsid w:val="00DB54D2"/>
    <w:rsid w:val="00DB681E"/>
    <w:rsid w:val="00DB6E64"/>
    <w:rsid w:val="00DD077B"/>
    <w:rsid w:val="00DD50BF"/>
    <w:rsid w:val="00DE05F8"/>
    <w:rsid w:val="00DE224B"/>
    <w:rsid w:val="00DE3A61"/>
    <w:rsid w:val="00DE7D45"/>
    <w:rsid w:val="00DF062B"/>
    <w:rsid w:val="00DF18D4"/>
    <w:rsid w:val="00DF31F1"/>
    <w:rsid w:val="00DF7DA2"/>
    <w:rsid w:val="00E04EE5"/>
    <w:rsid w:val="00E158E6"/>
    <w:rsid w:val="00E17418"/>
    <w:rsid w:val="00E17689"/>
    <w:rsid w:val="00E23E53"/>
    <w:rsid w:val="00E45114"/>
    <w:rsid w:val="00E5029D"/>
    <w:rsid w:val="00E5095D"/>
    <w:rsid w:val="00E50A33"/>
    <w:rsid w:val="00E56ECB"/>
    <w:rsid w:val="00E5771E"/>
    <w:rsid w:val="00E64AFF"/>
    <w:rsid w:val="00E66DD2"/>
    <w:rsid w:val="00E71C5E"/>
    <w:rsid w:val="00E725FA"/>
    <w:rsid w:val="00E731A7"/>
    <w:rsid w:val="00E73476"/>
    <w:rsid w:val="00E8229D"/>
    <w:rsid w:val="00E96790"/>
    <w:rsid w:val="00EA6EAD"/>
    <w:rsid w:val="00EB3C31"/>
    <w:rsid w:val="00EC1D20"/>
    <w:rsid w:val="00EC575C"/>
    <w:rsid w:val="00EC669E"/>
    <w:rsid w:val="00ED2BF9"/>
    <w:rsid w:val="00ED5230"/>
    <w:rsid w:val="00ED7E65"/>
    <w:rsid w:val="00EE6D3E"/>
    <w:rsid w:val="00EF7929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3368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DD705"/>
  <w15:docId w15:val="{D0D004F8-4DC5-43AF-99AD-07CE612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  <w:style w:type="paragraph" w:styleId="af1">
    <w:name w:val="header"/>
    <w:basedOn w:val="a"/>
    <w:link w:val="af2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7932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94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79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6E34-2ACE-4ACD-BC57-86C5520E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управлении.dot</Template>
  <TotalTime>6</TotalTime>
  <Pages>8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24807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Нечушкина Юлия Андреевна</cp:lastModifiedBy>
  <cp:revision>9</cp:revision>
  <cp:lastPrinted>2016-12-29T12:40:00Z</cp:lastPrinted>
  <dcterms:created xsi:type="dcterms:W3CDTF">2019-02-21T07:49:00Z</dcterms:created>
  <dcterms:modified xsi:type="dcterms:W3CDTF">2022-02-25T12:27:00Z</dcterms:modified>
</cp:coreProperties>
</file>