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bCs/>
        </w:rPr>
        <w:outlineLvl w:val="0"/>
      </w:pPr>
      <w:r>
        <w:rPr>
          <w:b/>
          <w:bCs/>
        </w:rPr>
        <w:t xml:space="preserve">Сообщение о существенном факте </w:t>
      </w:r>
      <w:r>
        <w:rPr>
          <w:b/>
          <w:bCs/>
        </w:rPr>
      </w:r>
      <w:r>
        <w:rPr>
          <w:b/>
          <w:bCs/>
        </w:rPr>
      </w:r>
    </w:p>
    <w:p>
      <w:pPr>
        <w:pStyle w:val="765"/>
        <w:ind w:firstLine="540"/>
        <w:jc w:val="center"/>
        <w:spacing w:before="0" w:after="0" w:line="288" w:lineRule="atLeast"/>
        <w:rPr>
          <w:rFonts w:eastAsia="Times New Roman"/>
          <w:b/>
          <w:sz w:val="20"/>
          <w:szCs w:val="20"/>
          <w:lang w:val="ru-RU" w:eastAsia="ru-RU"/>
        </w:rPr>
      </w:pPr>
      <w:r>
        <w:rPr>
          <w:b/>
          <w:bCs/>
          <w:sz w:val="20"/>
          <w:szCs w:val="20"/>
          <w:lang w:val="ru-RU"/>
        </w:rPr>
        <w:t xml:space="preserve">«</w:t>
      </w:r>
      <w:r>
        <w:rPr>
          <w:b/>
          <w:bCs/>
          <w:sz w:val="20"/>
          <w:szCs w:val="20"/>
          <w:lang w:val="ru-RU"/>
        </w:rPr>
        <w:t xml:space="preserve">О</w:t>
      </w:r>
      <w:r>
        <w:rPr>
          <w:rFonts w:eastAsia="Times New Roman"/>
          <w:b/>
          <w:sz w:val="20"/>
          <w:szCs w:val="20"/>
          <w:lang w:val="ru-RU" w:eastAsia="ru-RU"/>
        </w:rPr>
        <w:t xml:space="preserve"> созыве общего собрания участников (акционеров) эмитента</w:t>
      </w:r>
      <w:r>
        <w:rPr>
          <w:rFonts w:eastAsia="Times New Roman"/>
          <w:b/>
          <w:sz w:val="20"/>
          <w:szCs w:val="20"/>
          <w:lang w:val="ru-RU" w:eastAsia="ru-RU"/>
        </w:rPr>
        <w:t xml:space="preserve">»</w:t>
      </w:r>
      <w:r>
        <w:rPr>
          <w:rFonts w:eastAsia="Times New Roman"/>
          <w:b/>
          <w:sz w:val="20"/>
          <w:szCs w:val="20"/>
          <w:lang w:val="ru-RU" w:eastAsia="ru-RU"/>
        </w:rPr>
      </w:r>
      <w:r>
        <w:rPr>
          <w:rFonts w:eastAsia="Times New Roman"/>
          <w:b/>
          <w:sz w:val="20"/>
          <w:szCs w:val="20"/>
          <w:lang w:val="ru-RU" w:eastAsia="ru-RU"/>
        </w:rPr>
      </w:r>
    </w:p>
    <w:p>
      <w:pPr>
        <w:tabs>
          <w:tab w:val="left" w:pos="7633" w:leader="none"/>
        </w:tabs>
        <w:rPr>
          <w:b/>
          <w:bCs/>
          <w:sz w:val="16"/>
        </w:rPr>
      </w:pPr>
      <w:r>
        <w:rPr>
          <w:b/>
          <w:bCs/>
        </w:rPr>
        <w:tab/>
      </w:r>
      <w:r>
        <w:rPr>
          <w:b/>
          <w:bCs/>
          <w:sz w:val="16"/>
        </w:rPr>
      </w:r>
      <w:r>
        <w:rPr>
          <w:b/>
          <w:bCs/>
          <w:sz w:val="16"/>
        </w:rPr>
      </w:r>
    </w:p>
    <w:tbl>
      <w:tblPr>
        <w:tblW w:w="10235" w:type="dxa"/>
        <w:tblInd w:w="-4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48"/>
        <w:gridCol w:w="5387"/>
      </w:tblGrid>
      <w:tr>
        <w:tblPrEx/>
        <w:trPr/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35" w:type="dxa"/>
            <w:textDirection w:val="lrTb"/>
            <w:noWrap w:val="false"/>
          </w:tcPr>
          <w:p>
            <w:pPr>
              <w:jc w:val="center"/>
            </w:pPr>
            <w:r>
              <w:t xml:space="preserve">1. Общие сведения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8" w:type="dxa"/>
            <w:textDirection w:val="lrTb"/>
            <w:noWrap w:val="false"/>
          </w:tcPr>
          <w:p>
            <w:pPr>
              <w:jc w:val="both"/>
              <w:rPr>
                <w:b/>
                <w:bCs/>
              </w:rPr>
            </w:pPr>
            <w:r>
              <w:t xml:space="preserve">1.1. Полное фирменное наименование (для коммерческой организации) или наименование (для некоммерческой организации) эмитента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7" w:type="dxa"/>
            <w:textDirection w:val="lrTb"/>
            <w:noWrap w:val="false"/>
          </w:tcPr>
          <w:p>
            <w:pPr>
              <w:ind w:left="40"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Публичное акционерное общество «Вторая генерирующая компания оптового рынка электроэнергии»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8" w:type="dxa"/>
            <w:textDirection w:val="lrTb"/>
            <w:noWrap w:val="false"/>
          </w:tcPr>
          <w:p>
            <w:pPr>
              <w:jc w:val="both"/>
            </w:pPr>
            <w:r>
              <w:t xml:space="preserve">1.2. Адрес эмитента, указанный в едином государственном реестре юридических лиц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7" w:type="dxa"/>
            <w:textDirection w:val="lrTb"/>
            <w:noWrap w:val="false"/>
          </w:tcPr>
          <w:p>
            <w:pPr>
              <w:ind w:left="40"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196605, г. Санкт-Петербург, вн.тер.г. поселок Шушары, ш Петербургское, д. 66, к. 1, литера А, этаж 7, </w:t>
            </w:r>
            <w:r>
              <w:rPr>
                <w:b/>
                <w:bCs/>
              </w:rPr>
              <w:br/>
              <w:t xml:space="preserve">помещ. 36-Н, каб. 701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8" w:type="dxa"/>
            <w:textDirection w:val="lrTb"/>
            <w:noWrap w:val="false"/>
          </w:tcPr>
          <w:p>
            <w:pPr>
              <w:jc w:val="both"/>
            </w:pPr>
            <w:r>
              <w:t xml:space="preserve">1.3. Основной государственный регистрационный номер (ОГРН) эмитента (при наличии)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7" w:type="dxa"/>
            <w:textDirection w:val="lrTb"/>
            <w:noWrap w:val="false"/>
          </w:tcPr>
          <w:p>
            <w:pPr>
              <w:ind w:left="40"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1052600002180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8" w:type="dxa"/>
            <w:textDirection w:val="lrTb"/>
            <w:noWrap w:val="false"/>
          </w:tcPr>
          <w:p>
            <w:pPr>
              <w:jc w:val="both"/>
            </w:pPr>
            <w:r>
              <w:t xml:space="preserve">1.4. Идентификационный номер налогоплательщика (ИНН) эмитента (при наличии)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7" w:type="dxa"/>
            <w:textDirection w:val="lrTb"/>
            <w:noWrap w:val="false"/>
          </w:tcPr>
          <w:p>
            <w:pPr>
              <w:ind w:left="40"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2607018122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8" w:type="dxa"/>
            <w:textDirection w:val="lrTb"/>
            <w:noWrap w:val="false"/>
          </w:tcPr>
          <w:p>
            <w:pPr>
              <w:jc w:val="both"/>
            </w:pPr>
            <w:r>
              <w:t xml:space="preserve">1.5. Уникальный код эмитента, присвоенный Банком России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7" w:type="dxa"/>
            <w:textDirection w:val="lrTb"/>
            <w:noWrap w:val="false"/>
          </w:tcPr>
          <w:p>
            <w:pPr>
              <w:ind w:left="40" w:right="85"/>
              <w:rPr>
                <w:b/>
                <w:bCs/>
              </w:rPr>
            </w:pPr>
            <w:r>
              <w:rPr>
                <w:b/>
                <w:bCs/>
              </w:rPr>
              <w:t xml:space="preserve">65105-D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8" w:type="dxa"/>
            <w:textDirection w:val="lrTb"/>
            <w:noWrap w:val="false"/>
          </w:tcPr>
          <w:p>
            <w:r>
              <w:t xml:space="preserve">1.6. Адрес страницы в сети Интернет, используемой эмитентом для раскрытия информации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7" w:type="dxa"/>
            <w:textDirection w:val="lrTb"/>
            <w:noWrap w:val="false"/>
          </w:tcPr>
          <w:p>
            <w:pPr>
              <w:ind w:right="57"/>
              <w:rPr>
                <w:b/>
                <w:bCs/>
              </w:rPr>
            </w:pPr>
            <w:r/>
            <w:hyperlink r:id="rId10" w:tooltip="https://www.ogk2.ru/" w:history="1">
              <w:r>
                <w:rPr>
                  <w:rStyle w:val="724"/>
                  <w:b/>
                  <w:bCs/>
                  <w:color w:val="auto"/>
                </w:rPr>
                <w:t xml:space="preserve">https://www.ogk2.ru</w:t>
              </w:r>
            </w:hyperlink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ind w:right="85"/>
              <w:rPr>
                <w:b/>
                <w:bCs/>
              </w:rPr>
            </w:pPr>
            <w:r/>
            <w:hyperlink r:id="rId11" w:tooltip="https://www.e-disclosure.ru/portal/company.aspx?id=7234" w:history="1">
              <w:r>
                <w:rPr>
                  <w:rStyle w:val="724"/>
                  <w:b/>
                  <w:bCs/>
                  <w:color w:val="auto"/>
                </w:rPr>
                <w:t xml:space="preserve">https://www.e-disclosure.ru/portal/company.aspx?id=7234</w:t>
              </w:r>
            </w:hyperlink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8" w:type="dxa"/>
            <w:textDirection w:val="lrTb"/>
            <w:noWrap w:val="false"/>
          </w:tcPr>
          <w:p>
            <w:pPr>
              <w:jc w:val="both"/>
            </w:pPr>
            <w:r>
              <w:t xml:space="preserve">1.7. Дата наступления события (существенного факта), о котором составлено сообщение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7" w:type="dxa"/>
            <w:textDirection w:val="lrTb"/>
            <w:noWrap w:val="false"/>
          </w:tcPr>
          <w:p>
            <w:pPr>
              <w:ind w:right="85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15.10</w:t>
            </w:r>
            <w:r>
              <w:rPr>
                <w:b/>
                <w:bCs/>
                <w:color w:val="000000" w:themeColor="text1"/>
              </w:rPr>
              <w:t xml:space="preserve">.2026</w:t>
            </w:r>
            <w:r>
              <w:rPr>
                <w:b/>
                <w:bCs/>
                <w:color w:val="000000" w:themeColor="text1"/>
              </w:rPr>
            </w:r>
            <w:r>
              <w:rPr>
                <w:b/>
                <w:bCs/>
                <w:color w:val="000000" w:themeColor="text1"/>
              </w:rPr>
            </w:r>
          </w:p>
        </w:tc>
      </w:tr>
    </w:tbl>
    <w:p>
      <w:pPr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tbl>
      <w:tblPr>
        <w:tblW w:w="10207" w:type="dxa"/>
        <w:tblInd w:w="-43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0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7" w:type="dxa"/>
            <w:textDirection w:val="lrTb"/>
            <w:noWrap w:val="false"/>
          </w:tcPr>
          <w:p>
            <w:pPr>
              <w:jc w:val="center"/>
            </w:pPr>
            <w:r>
              <w:t xml:space="preserve">2. Содержание сообщения</w:t>
            </w:r>
            <w:r/>
          </w:p>
        </w:tc>
      </w:tr>
      <w:tr>
        <w:tblPrEx/>
        <w:trPr>
          <w:trHeight w:val="14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7" w:type="dxa"/>
            <w:textDirection w:val="lrTb"/>
            <w:noWrap w:val="false"/>
          </w:tcPr>
          <w:p>
            <w:pPr>
              <w:ind w:left="113" w:right="113" w:firstLine="284"/>
              <w:jc w:val="both"/>
              <w:rPr>
                <w:b/>
                <w:bCs/>
                <w:color w:val="000000" w:themeColor="text1"/>
              </w:rPr>
              <w:suppressLineNumbers w:val="0"/>
            </w:pPr>
            <w:r>
              <w:rPr>
                <w:color w:val="000000" w:themeColor="text1"/>
                <w:lang w:eastAsia="ru-RU"/>
              </w:rPr>
              <w:t xml:space="preserve">2.1. Вид общего собрания участников (акционеров) эмитента (годовое (очередное), внеочередное): </w:t>
            </w:r>
            <w:r>
              <w:rPr>
                <w:b/>
                <w:bCs/>
                <w:color w:val="000000" w:themeColor="text1"/>
                <w:lang w:eastAsia="ru-RU"/>
              </w:rPr>
              <w:t xml:space="preserve">внеочередное.</w:t>
            </w:r>
            <w:r>
              <w:rPr>
                <w:b/>
                <w:bCs/>
                <w:color w:val="000000" w:themeColor="text1"/>
              </w:rPr>
            </w:r>
          </w:p>
          <w:p>
            <w:pPr>
              <w:ind w:left="113" w:right="113" w:firstLine="284"/>
              <w:jc w:val="both"/>
              <w:rPr>
                <w:b/>
                <w:bCs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color w:val="000000" w:themeColor="text1"/>
                <w:lang w:eastAsia="ru-RU"/>
              </w:rPr>
              <w:t xml:space="preserve">2.2. Форма проведения общего собрания участников (акционеров) эмитента (собрание (совместное присутствие) или заочное голосование): </w:t>
            </w:r>
            <w:r>
              <w:rPr>
                <w:b/>
                <w:color w:val="000000" w:themeColor="text1"/>
                <w:lang w:eastAsia="ru-RU"/>
              </w:rPr>
              <w:t xml:space="preserve">способ принятия </w:t>
            </w:r>
            <w:r>
              <w:rPr>
                <w:b/>
                <w:color w:val="000000" w:themeColor="text1"/>
                <w:lang w:eastAsia="ru-RU"/>
              </w:rPr>
              <w:t xml:space="preserve">решения О</w:t>
            </w:r>
            <w:r>
              <w:rPr>
                <w:b/>
                <w:color w:val="000000" w:themeColor="text1"/>
                <w:lang w:eastAsia="ru-RU"/>
              </w:rPr>
              <w:t xml:space="preserve">бщим собранием акционеров -</w:t>
            </w:r>
            <w:r>
              <w:rPr>
                <w:color w:val="000000" w:themeColor="text1"/>
                <w:lang w:eastAsia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pacing w:val="-4"/>
                <w:sz w:val="20"/>
                <w:szCs w:val="20"/>
                <w:lang w:eastAsia="ru-RU"/>
              </w:rPr>
              <w:t xml:space="preserve">заседание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pacing w:val="-4"/>
                <w:sz w:val="20"/>
                <w:szCs w:val="20"/>
                <w:lang w:eastAsia="ru-RU"/>
              </w:rPr>
              <w:t xml:space="preserve">, голосование на котором совмещается с заочным голосованием (без возможности дистанционного участия в заседании).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ind w:left="113" w:right="113" w:firstLine="284"/>
              <w:jc w:val="both"/>
              <w:rPr>
                <w:color w:val="000000" w:themeColor="text1"/>
              </w:rPr>
              <w:suppressLineNumbers w:val="0"/>
            </w:pPr>
            <w:r>
              <w:rPr>
                <w:color w:val="000000" w:themeColor="text1"/>
                <w:lang w:eastAsia="ru-RU"/>
              </w:rPr>
              <w:t xml:space="preserve">2.3. </w:t>
            </w:r>
            <w:r>
              <w:rPr>
                <w:color w:val="000000" w:themeColor="text1"/>
                <w:lang w:eastAsia="ru-RU"/>
              </w:rPr>
              <w:t xml:space="preserve">Д</w:t>
            </w:r>
            <w:r>
              <w:rPr>
                <w:color w:val="000000" w:themeColor="text1"/>
                <w:lang w:eastAsia="ru-RU"/>
              </w:rPr>
              <w:t xml:space="preserve">ата, место, время проведения общего собра</w:t>
            </w:r>
            <w:r>
              <w:rPr>
                <w:color w:val="000000" w:themeColor="text1"/>
                <w:lang w:eastAsia="ru-RU"/>
              </w:rPr>
              <w:t xml:space="preserve">ния участников (акционеров) эмитента, почтовый адрес, адрес электронной почты для направления заполненных бюллетеней для голосования, а если общее собрание акционеров проводится с возможностью заполнения электронной формы бюллетеней на сайте в сети "Интерн</w:t>
            </w:r>
            <w:r>
              <w:rPr>
                <w:color w:val="000000" w:themeColor="text1"/>
                <w:lang w:eastAsia="ru-RU"/>
              </w:rPr>
              <w:t xml:space="preserve">ет" - также адрес сайта в сети «</w:t>
            </w:r>
            <w:r>
              <w:rPr>
                <w:color w:val="000000" w:themeColor="text1"/>
                <w:lang w:eastAsia="ru-RU"/>
              </w:rPr>
              <w:t xml:space="preserve">Интернет</w:t>
            </w:r>
            <w:r>
              <w:rPr>
                <w:color w:val="000000" w:themeColor="text1"/>
                <w:lang w:eastAsia="ru-RU"/>
              </w:rPr>
              <w:t xml:space="preserve">»</w:t>
            </w:r>
            <w:r>
              <w:rPr>
                <w:color w:val="000000" w:themeColor="text1"/>
                <w:lang w:eastAsia="ru-RU"/>
              </w:rPr>
              <w:t xml:space="preserve">, на котором заполняются электронные формы бюллетеней для голосования:</w:t>
            </w:r>
            <w:r>
              <w:rPr>
                <w:color w:val="000000" w:themeColor="text1"/>
                <w:lang w:eastAsia="ru-RU"/>
              </w:rPr>
              <w:t xml:space="preserve"> 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ind w:left="113" w:right="113" w:firstLine="284"/>
              <w:jc w:val="both"/>
              <w:rPr>
                <w:b/>
                <w:bCs/>
                <w:color w:val="000000" w:themeColor="text1"/>
                <w:highlight w:val="none"/>
                <w:shd w:val="clear" w:color="auto" w:fill="ffffff"/>
              </w:rPr>
              <w:suppressLineNumbers w:val="0"/>
            </w:pPr>
            <w:r>
              <w:rPr>
                <w:b/>
                <w:color w:val="000000" w:themeColor="text1"/>
                <w:shd w:val="clear" w:color="auto" w:fill="ffffff"/>
              </w:rPr>
              <w:t xml:space="preserve">дата проведения: </w:t>
            </w:r>
            <w:r>
              <w:rPr>
                <w:color w:val="000000" w:themeColor="text1"/>
                <w:lang w:eastAsia="ru-RU"/>
              </w:rPr>
              <w:t xml:space="preserve"> </w:t>
            </w:r>
            <w:r>
              <w:rPr>
                <w:b/>
                <w:bCs/>
                <w:color w:val="000000" w:themeColor="text1"/>
                <w:lang w:eastAsia="ru-RU"/>
              </w:rPr>
              <w:t xml:space="preserve">21</w:t>
            </w:r>
            <w:r>
              <w:rPr>
                <w:b/>
                <w:bCs/>
                <w:color w:val="000000" w:themeColor="text1"/>
                <w:shd w:val="clear" w:color="auto" w:fill="ffffff"/>
              </w:rPr>
              <w:t xml:space="preserve"> декабря</w:t>
            </w:r>
            <w:r>
              <w:rPr>
                <w:b/>
                <w:bCs/>
                <w:color w:val="000000" w:themeColor="text1"/>
                <w:shd w:val="clear" w:color="auto" w:fill="ffffff"/>
              </w:rPr>
              <w:t xml:space="preserve"> 2026 года; </w:t>
            </w:r>
            <w:r>
              <w:rPr>
                <w:b/>
                <w:bCs/>
                <w:color w:val="000000" w:themeColor="text1"/>
                <w:highlight w:val="none"/>
                <w:shd w:val="clear" w:color="auto" w:fill="ffffff"/>
              </w:rPr>
            </w:r>
            <w:r>
              <w:rPr>
                <w:b/>
                <w:bCs/>
                <w:color w:val="000000" w:themeColor="text1"/>
                <w:highlight w:val="none"/>
                <w:shd w:val="clear" w:color="auto" w:fill="ffffff"/>
              </w:rPr>
            </w:r>
          </w:p>
          <w:p>
            <w:pPr>
              <w:ind w:left="113" w:right="113" w:firstLine="284"/>
              <w:jc w:val="both"/>
              <w:rPr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suppressLineNumbers w:val="0"/>
            </w:pPr>
            <w:r>
              <w:rPr>
                <w:b/>
                <w:bCs/>
                <w:color w:val="000000" w:themeColor="text1"/>
                <w:shd w:val="clear" w:color="auto" w:fill="ffffff"/>
              </w:rPr>
              <w:t xml:space="preserve">место проведения: </w:t>
            </w:r>
            <w:r>
              <w:rPr>
                <w:rFonts w:ascii="Liberation Serif" w:hAnsi="Liberation Serif" w:eastAsia="Liberation Serif" w:cs="Liberation Serif"/>
                <w:b/>
                <w:bCs/>
                <w:spacing w:val="-4"/>
                <w:sz w:val="20"/>
                <w:szCs w:val="20"/>
                <w:highlight w:val="white"/>
                <w:lang w:eastAsia="ru-RU"/>
              </w:rPr>
              <w:t xml:space="preserve">г. Санкт-Петербург, </w:t>
            </w:r>
            <w:r>
              <w:rPr>
                <w:rFonts w:ascii="Liberation Serif" w:hAnsi="Liberation Serif" w:eastAsia="Liberation Serif" w:cs="Liberation Serif"/>
                <w:b/>
                <w:bCs/>
                <w:spacing w:val="-4"/>
                <w:sz w:val="20"/>
                <w:szCs w:val="20"/>
                <w:highlight w:val="white"/>
                <w:lang w:eastAsia="ru-RU"/>
              </w:rPr>
              <w:t xml:space="preserve">вн.тер.г</w:t>
            </w:r>
            <w:r>
              <w:rPr>
                <w:rFonts w:ascii="Liberation Serif" w:hAnsi="Liberation Serif" w:eastAsia="Liberation Serif" w:cs="Liberation Serif"/>
                <w:b/>
                <w:bCs/>
                <w:spacing w:val="-4"/>
                <w:sz w:val="20"/>
                <w:szCs w:val="20"/>
                <w:highlight w:val="white"/>
                <w:lang w:eastAsia="ru-RU"/>
              </w:rPr>
              <w:t xml:space="preserve">. поселок Шушары, ш. Петербургское, д. 66, к. 1, литера А, этаж 1</w:t>
            </w:r>
            <w:r>
              <w:rPr>
                <w:rFonts w:ascii="Liberation Serif" w:hAnsi="Liberation Serif" w:eastAsia="Liberation Serif" w:cs="Liberation Serif"/>
                <w:b/>
                <w:bCs/>
                <w:spacing w:val="-4"/>
                <w:sz w:val="20"/>
                <w:szCs w:val="20"/>
                <w:highlight w:val="white"/>
                <w:lang w:eastAsia="ru-RU"/>
              </w:rPr>
              <w:t xml:space="preserve">;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r>
          </w:p>
          <w:p>
            <w:pPr>
              <w:ind w:left="113" w:right="113" w:firstLine="284"/>
              <w:jc w:val="both"/>
              <w:rPr>
                <w:b/>
                <w:bCs/>
                <w:color w:val="000000" w:themeColor="text1"/>
                <w:highlight w:val="none"/>
                <w:shd w:val="clear" w:color="auto" w:fill="ffffff"/>
              </w:rPr>
              <w:suppressLineNumbers w:val="0"/>
            </w:pPr>
            <w:r>
              <w:rPr>
                <w:b/>
                <w:bCs/>
                <w:color w:val="000000" w:themeColor="text1"/>
                <w:shd w:val="clear" w:color="auto" w:fill="ffffff"/>
              </w:rPr>
              <w:t xml:space="preserve">время проведения: </w:t>
            </w:r>
            <w:r>
              <w:rPr>
                <w:b/>
                <w:bCs/>
                <w:color w:val="000000" w:themeColor="text1"/>
              </w:rPr>
              <w:t xml:space="preserve">11 часов 30 минут по местному времени;</w:t>
            </w:r>
            <w:r>
              <w:rPr>
                <w:b/>
                <w:bCs/>
                <w:color w:val="000000" w:themeColor="text1"/>
                <w:highlight w:val="none"/>
                <w:shd w:val="clear" w:color="auto" w:fill="ffffff"/>
              </w:rPr>
            </w:r>
            <w:r>
              <w:rPr>
                <w:b/>
                <w:bCs/>
                <w:color w:val="000000" w:themeColor="text1"/>
                <w:highlight w:val="none"/>
                <w:shd w:val="clear" w:color="auto" w:fill="ffffff"/>
              </w:rPr>
            </w:r>
          </w:p>
          <w:p>
            <w:pPr>
              <w:ind w:left="113" w:right="113" w:firstLine="284"/>
              <w:jc w:val="both"/>
              <w:rPr>
                <w:b/>
                <w:bCs/>
                <w:color w:val="000000" w:themeColor="text1"/>
              </w:rPr>
              <w:suppressLineNumbers w:val="0"/>
            </w:pPr>
            <w:r>
              <w:rPr>
                <w:b/>
                <w:bCs/>
                <w:color w:val="000000" w:themeColor="text1"/>
                <w:shd w:val="clear" w:color="auto" w:fill="ffffff"/>
              </w:rPr>
              <w:t xml:space="preserve">почтовый адрес для направления заполненных бюллетеней для голосования: </w:t>
            </w:r>
            <w:r>
              <w:rPr>
                <w:b/>
                <w:bCs/>
                <w:color w:val="000000" w:themeColor="text1"/>
              </w:rPr>
              <w:t xml:space="preserve">196605, г. Санкт-Петербург, вн.тер.г. поселок Шушары, ш. Петербургское, д. 66, к. 1, литера А, этаж 7, помещ. 36-Н, каб. 701, ПАО «ОГК-2»;</w:t>
            </w:r>
            <w:r>
              <w:rPr>
                <w:b/>
                <w:bCs/>
                <w:color w:val="000000" w:themeColor="text1"/>
              </w:rPr>
            </w:r>
            <w:r>
              <w:rPr>
                <w:b/>
                <w:bCs/>
                <w:color w:val="000000" w:themeColor="text1"/>
              </w:rPr>
            </w:r>
          </w:p>
          <w:p>
            <w:pPr>
              <w:ind w:left="113" w:right="113" w:firstLine="284"/>
              <w:jc w:val="both"/>
              <w:rPr>
                <w:b/>
                <w:bCs/>
                <w:color w:val="000000" w:themeColor="text1"/>
                <w:highlight w:val="none"/>
              </w:rPr>
              <w:suppressLineNumbers w:val="0"/>
            </w:pPr>
            <w:r>
              <w:rPr>
                <w:b/>
                <w:bCs/>
                <w:color w:val="000000" w:themeColor="text1"/>
                <w:highlight w:val="white"/>
                <w:shd w:val="clear" w:color="auto" w:fill="ffffff"/>
              </w:rPr>
              <w:t xml:space="preserve">а</w:t>
            </w:r>
            <w:r>
              <w:rPr>
                <w:b/>
                <w:bCs/>
                <w:color w:val="000000" w:themeColor="text1"/>
                <w:highlight w:val="white"/>
                <w:shd w:val="clear" w:color="auto" w:fill="ffffff"/>
              </w:rPr>
              <w:t xml:space="preserve">дрес электронной почты для направления заполненных бюллетеней для голосования: не используется;</w:t>
            </w:r>
            <w:r>
              <w:rPr>
                <w:b/>
                <w:bCs/>
                <w:color w:val="000000" w:themeColor="text1"/>
                <w:highlight w:val="white"/>
              </w:rPr>
            </w:r>
            <w:r>
              <w:rPr>
                <w:b/>
                <w:bCs/>
                <w:color w:val="000000" w:themeColor="text1"/>
                <w:highlight w:val="none"/>
              </w:rPr>
            </w:r>
          </w:p>
          <w:p>
            <w:pPr>
              <w:pStyle w:val="896"/>
              <w:ind w:left="113" w:right="113" w:firstLine="283"/>
              <w:spacing w:before="20" w:after="20"/>
              <w:tabs>
                <w:tab w:val="left" w:pos="426" w:leader="none"/>
              </w:tabs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  <w:suppressLineNumbers w:val="0"/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highlight w:val="white"/>
                <w:shd w:val="clear" w:color="auto" w:fill="ffffff"/>
                <w:lang w:eastAsia="zh-CN"/>
              </w:rPr>
              <w:t xml:space="preserve">адрес сайта в сети «Интернет», на котором заполняются электронные формы бюллетеней для голосования: </w:t>
            </w:r>
            <w:r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pStyle w:val="737"/>
              <w:ind w:left="113" w:right="113" w:firstLine="283"/>
              <w:jc w:val="both"/>
              <w:spacing w:after="0" w:line="240" w:lineRule="auto"/>
              <w:tabs>
                <w:tab w:val="left" w:pos="851" w:leader="none"/>
                <w:tab w:val="left" w:pos="993" w:leader="none"/>
              </w:tabs>
              <w:rPr>
                <w:rFonts w:ascii="Liberation Serif" w:hAnsi="Liberation Serif" w:cs="Liberation Serif"/>
                <w:b/>
                <w:bCs/>
                <w:spacing w:val="-4"/>
                <w:sz w:val="20"/>
                <w:szCs w:val="20"/>
                <w:highlight w:val="whit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pacing w:val="-4"/>
                <w:sz w:val="20"/>
                <w:szCs w:val="20"/>
                <w:highlight w:val="white"/>
                <w:lang w:eastAsia="ru-RU"/>
              </w:rPr>
              <w:t xml:space="preserve">а</w:t>
            </w:r>
            <w:r>
              <w:rPr>
                <w:rFonts w:ascii="Liberation Serif" w:hAnsi="Liberation Serif" w:eastAsia="Liberation Serif" w:cs="Liberation Serif"/>
                <w:b/>
                <w:bCs/>
                <w:spacing w:val="-4"/>
                <w:sz w:val="20"/>
                <w:szCs w:val="20"/>
                <w:highlight w:val="white"/>
                <w:lang w:eastAsia="ru-RU"/>
              </w:rPr>
              <w:t xml:space="preserve">кционерам предоставляется возможность электронного голосования путем заполнения электронной формы бюллетеней для голосования</w:t>
            </w:r>
            <w:r>
              <w:rPr>
                <w:rFonts w:ascii="Liberation Serif" w:hAnsi="Liberation Serif" w:eastAsia="Liberation Serif" w:cs="Liberation Serif"/>
                <w:b/>
                <w:bCs/>
                <w:spacing w:val="-4"/>
                <w:sz w:val="20"/>
                <w:szCs w:val="20"/>
                <w:highlight w:val="white"/>
                <w:lang w:eastAsia="ru-RU"/>
              </w:rPr>
              <w:t xml:space="preserve"> в Личном кабинете акционера ПАО «ОГК-2»</w:t>
            </w:r>
            <w:r>
              <w:rPr>
                <w:rFonts w:ascii="Liberation Serif" w:hAnsi="Liberation Serif" w:eastAsia="Liberation Serif" w:cs="Liberation Serif"/>
                <w:b/>
                <w:bCs/>
                <w:spacing w:val="-4"/>
                <w:sz w:val="20"/>
                <w:szCs w:val="20"/>
                <w:highlight w:val="white"/>
                <w:lang w:eastAsia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bCs/>
                <w:spacing w:val="-4"/>
                <w:sz w:val="20"/>
                <w:szCs w:val="20"/>
                <w:highlight w:val="white"/>
                <w:lang w:eastAsia="ru-RU"/>
              </w:rPr>
              <w:t xml:space="preserve">на сайте регистратора </w:t>
            </w:r>
            <w:hyperlink r:id="rId12" w:tooltip="http://www.draga.ru" w:history="1">
              <w:r>
                <w:rPr>
                  <w:rStyle w:val="724"/>
                  <w:rFonts w:ascii="Liberation Serif" w:hAnsi="Liberation Serif" w:eastAsia="Liberation Serif" w:cs="Liberation Serif"/>
                  <w:b/>
                  <w:bCs/>
                  <w:spacing w:val="-4"/>
                  <w:sz w:val="20"/>
                  <w:szCs w:val="20"/>
                  <w:highlight w:val="white"/>
                  <w:lang w:eastAsia="ru-RU"/>
                </w:rPr>
                <w:t xml:space="preserve">www.draga.ru</w:t>
              </w:r>
            </w:hyperlink>
            <w:r>
              <w:rPr>
                <w:rFonts w:ascii="Liberation Serif" w:hAnsi="Liberation Serif" w:eastAsia="Liberation Serif" w:cs="Liberation Serif"/>
                <w:b/>
                <w:bCs/>
                <w:spacing w:val="-4"/>
                <w:sz w:val="20"/>
                <w:szCs w:val="20"/>
                <w:highlight w:val="white"/>
                <w:lang w:eastAsia="ru-RU"/>
              </w:rPr>
              <w:t xml:space="preserve"> в информационно-телекоммуникационной сети Интернет в разделе Акционерам =&gt; Услуги =&gt; Участие в собрании акционеров =&gt; Заполнить электронную форму бюллетеня =&gt; Сервис «Личный кабинет ак</w:t>
            </w:r>
            <w:r>
              <w:rPr>
                <w:rFonts w:ascii="Liberation Serif" w:hAnsi="Liberation Serif" w:eastAsia="Liberation Serif" w:cs="Liberation Serif"/>
                <w:b/>
                <w:bCs/>
                <w:spacing w:val="-4"/>
                <w:sz w:val="20"/>
                <w:szCs w:val="20"/>
                <w:highlight w:val="white"/>
                <w:lang w:eastAsia="ru-RU"/>
              </w:rPr>
              <w:t xml:space="preserve">ционера» (ПАО «ОГК-2») или по ссылке: </w:t>
            </w:r>
            <w:hyperlink r:id="rId13" w:tooltip="https://draga.ru/akcioneram/uslugi/uchastie-v-sobranii-akcionerov/golosovanie/pao-ogk-2/" w:history="1">
              <w:r>
                <w:rPr>
                  <w:rStyle w:val="724"/>
                  <w:rFonts w:ascii="Liberation Serif" w:hAnsi="Liberation Serif" w:eastAsia="Liberation Serif" w:cs="Liberation Serif"/>
                  <w:b/>
                  <w:bCs/>
                  <w:spacing w:val="-4"/>
                  <w:sz w:val="20"/>
                  <w:szCs w:val="20"/>
                  <w:highlight w:val="white"/>
                  <w:lang w:eastAsia="ru-RU"/>
                </w:rPr>
                <w:t xml:space="preserve">https://draga.ru/ak</w:t>
              </w:r>
              <w:r>
                <w:rPr>
                  <w:rStyle w:val="724"/>
                  <w:rFonts w:ascii="Liberation Serif" w:hAnsi="Liberation Serif" w:eastAsia="Liberation Serif" w:cs="Liberation Serif"/>
                  <w:b/>
                  <w:bCs/>
                  <w:spacing w:val="-4"/>
                  <w:sz w:val="20"/>
                  <w:szCs w:val="20"/>
                  <w:highlight w:val="white"/>
                  <w:lang w:eastAsia="ru-RU"/>
                </w:rPr>
                <w:t xml:space="preserve">cioneram/uslugi/uchastie-v-sobranii-akcionerov/golosovanie/pao-ogk-2/</w:t>
              </w:r>
            </w:hyperlink>
            <w:r>
              <w:rPr>
                <w:rFonts w:ascii="Liberation Serif" w:hAnsi="Liberation Serif" w:eastAsia="Liberation Serif" w:cs="Liberation Serif"/>
                <w:b/>
                <w:bCs/>
                <w:spacing w:val="-4"/>
                <w:sz w:val="20"/>
                <w:szCs w:val="20"/>
                <w:highlight w:val="white"/>
                <w:lang w:eastAsia="ru-RU"/>
              </w:rPr>
              <w:t xml:space="preserve">  (для участия в электронном голосовании акционер ПАО «ОГК-2» должен получить доступ к сервису «Личный кабинет акционера». С порядком получения доступа можно ознакомиться на странице </w:t>
            </w:r>
            <w:hyperlink r:id="rId14" w:tooltip="https://draga.ru/akcioneram/jelektronnye-servisy/lichnyj-kabinet-akcionera/" w:history="1">
              <w:r>
                <w:rPr>
                  <w:rStyle w:val="724"/>
                  <w:rFonts w:ascii="Liberation Serif" w:hAnsi="Liberation Serif" w:eastAsia="Liberation Serif" w:cs="Liberation Serif"/>
                  <w:b/>
                  <w:bCs/>
                  <w:spacing w:val="-4"/>
                  <w:sz w:val="20"/>
                  <w:szCs w:val="20"/>
                  <w:highlight w:val="white"/>
                  <w:lang w:eastAsia="ru-RU"/>
                </w:rPr>
                <w:t xml:space="preserve">https://draga.ru/akcioneram/jelektronnye-servisy/lichnyj-kabinet-akcionera/</w:t>
              </w:r>
            </w:hyperlink>
            <w:r>
              <w:rPr>
                <w:rStyle w:val="724"/>
                <w:rFonts w:ascii="Liberation Serif" w:hAnsi="Liberation Serif" w:eastAsia="Liberation Serif" w:cs="Liberation Serif"/>
                <w:b/>
                <w:bCs/>
                <w:color w:val="auto"/>
                <w:spacing w:val="-4"/>
                <w:sz w:val="20"/>
                <w:szCs w:val="20"/>
                <w:highlight w:val="white"/>
                <w:u w:val="none"/>
                <w:lang w:eastAsia="ru-RU"/>
              </w:rPr>
              <w:t xml:space="preserve">)</w:t>
            </w:r>
            <w:r>
              <w:rPr>
                <w:rFonts w:ascii="Liberation Serif" w:hAnsi="Liberation Serif" w:eastAsia="Liberation Serif" w:cs="Liberation Serif"/>
                <w:b/>
                <w:bCs/>
                <w:spacing w:val="-4"/>
                <w:sz w:val="20"/>
                <w:szCs w:val="20"/>
                <w:highlight w:val="white"/>
                <w:lang w:eastAsia="ru-RU"/>
              </w:rPr>
              <w:t xml:space="preserve">.</w:t>
            </w:r>
            <w:r>
              <w:rPr>
                <w:rFonts w:ascii="Liberation Serif" w:hAnsi="Liberation Serif" w:cs="Liberation Serif"/>
                <w:b/>
                <w:bCs/>
                <w:spacing w:val="-4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/>
                <w:bCs/>
                <w:spacing w:val="-4"/>
                <w:sz w:val="20"/>
                <w:szCs w:val="20"/>
                <w:highlight w:val="white"/>
              </w:rPr>
            </w:r>
          </w:p>
          <w:p>
            <w:pPr>
              <w:ind w:left="113" w:right="113" w:firstLine="283"/>
              <w:jc w:val="both"/>
              <w:spacing w:after="0" w:line="240" w:lineRule="auto"/>
              <w:tabs>
                <w:tab w:val="left" w:pos="426" w:leader="none"/>
                <w:tab w:val="left" w:pos="709" w:leader="none"/>
                <w:tab w:val="left" w:pos="851" w:leader="none"/>
                <w:tab w:val="left" w:pos="993" w:leader="none"/>
              </w:tabs>
              <w:rPr>
                <w:rFonts w:ascii="Liberation Serif" w:hAnsi="Liberation Serif" w:cs="Liberation Serif"/>
                <w:b/>
                <w:bCs/>
                <w:spacing w:val="-4"/>
                <w:sz w:val="20"/>
                <w:szCs w:val="20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pacing w:val="-4"/>
                <w:sz w:val="20"/>
                <w:szCs w:val="20"/>
              </w:rPr>
              <w:t xml:space="preserve">Лица, осу</w:t>
            </w:r>
            <w:r>
              <w:rPr>
                <w:rFonts w:ascii="Liberation Serif" w:hAnsi="Liberation Serif" w:eastAsia="Liberation Serif" w:cs="Liberation Serif"/>
                <w:b/>
                <w:bCs/>
                <w:spacing w:val="-4"/>
                <w:sz w:val="20"/>
                <w:szCs w:val="20"/>
              </w:rPr>
              <w:t xml:space="preserve">ществляющие права по ценным бумагам, если их права на ценные бумаги учитываются номинальным держателем, иностранным номинальным держателем, иностранной организацией, имеющей право в соответствии с ее личным законом осуществлять учет и переход прав на ценны</w:t>
            </w:r>
            <w:r>
              <w:rPr>
                <w:rFonts w:ascii="Liberation Serif" w:hAnsi="Liberation Serif" w:eastAsia="Liberation Serif" w:cs="Liberation Serif"/>
                <w:b/>
                <w:bCs/>
                <w:spacing w:val="-4"/>
                <w:sz w:val="20"/>
                <w:szCs w:val="20"/>
              </w:rPr>
              <w:t xml:space="preserve">е бумаги, могут принять участие в Собрании и осуществить право голоса в порядке, установленном ст. 8.9. Федерального закона «О рынке ценных бумаг», с помощью электронных средств через депозитарную систему учета.</w:t>
            </w:r>
            <w:r>
              <w:rPr>
                <w:rFonts w:ascii="Liberation Serif" w:hAnsi="Liberation Serif" w:cs="Liberation Serif"/>
                <w:b/>
                <w:bCs/>
                <w:spacing w:val="-4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pacing w:val="-4"/>
                <w:sz w:val="20"/>
                <w:szCs w:val="20"/>
              </w:rPr>
            </w:r>
          </w:p>
          <w:p>
            <w:pPr>
              <w:ind w:left="113" w:right="113" w:firstLine="284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</w:rPr>
              <w:t xml:space="preserve">2.4. 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eastAsia="ru-RU"/>
              </w:rPr>
              <w:t xml:space="preserve">ремя начала регистрации лиц, принимающих участие в общем собрании участников (акционеров) эмитента (в случае проведения общего собрания в форме собрания (совместного присутствия):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 xml:space="preserve">10 часов 30 минут по местному времени.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</w:r>
          </w:p>
          <w:p>
            <w:pPr>
              <w:ind w:left="113" w:right="113" w:firstLine="284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highlight w:val="white"/>
                <w:lang w:eastAsia="ru-RU"/>
              </w:rPr>
              <w:t xml:space="preserve">2.5. 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highlight w:val="white"/>
                <w:lang w:eastAsia="ru-RU"/>
              </w:rPr>
              <w:t xml:space="preserve">ата окончания приема бюллетеней для голосования (в случае проведения общего собрания в форме заочного 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highlight w:val="white"/>
                <w:lang w:eastAsia="ru-RU"/>
              </w:rPr>
              <w:t xml:space="preserve">олосования):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highlight w:val="white"/>
                <w:lang w:eastAsia="ru-RU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highlight w:val="white"/>
                <w:lang w:eastAsia="ru-RU"/>
              </w:rPr>
              <w:t xml:space="preserve">декабря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highlight w:val="white"/>
                <w:lang w:eastAsia="ru-RU"/>
              </w:rPr>
              <w:t xml:space="preserve">2026 г.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highlight w:val="white"/>
              </w:rPr>
            </w:r>
          </w:p>
          <w:p>
            <w:pPr>
              <w:ind w:left="113" w:right="113" w:firstLine="284"/>
              <w:jc w:val="both"/>
              <w:rPr>
                <w:rFonts w:ascii="Times New Roman" w:hAnsi="Times New Roman" w:cs="Times New Roman"/>
                <w:color w:val="000000" w:themeColor="text1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highlight w:val="white"/>
                <w:lang w:eastAsia="ru-RU"/>
              </w:rPr>
              <w:t xml:space="preserve">2.6. 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highlight w:val="white"/>
                <w:lang w:eastAsia="ru-RU"/>
              </w:rPr>
              <w:t xml:space="preserve">ата, на которую определяются (фиксируются) лица, имеющие право на участие в общем собрании участников (акц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highlight w:val="white"/>
                <w:lang w:eastAsia="ru-RU"/>
              </w:rPr>
              <w:t xml:space="preserve">ионеров) эмитента: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highlight w:val="white"/>
                <w:lang w:eastAsia="ru-RU"/>
              </w:rPr>
              <w:t xml:space="preserve"> 27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pacing w:val="-4"/>
                <w:highlight w:val="white"/>
                <w:lang w:eastAsia="ru-RU"/>
              </w:rPr>
              <w:t xml:space="preserve"> октября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pacing w:val="-4"/>
                <w:highlight w:val="white"/>
                <w:lang w:eastAsia="ru-RU"/>
              </w:rPr>
              <w:t xml:space="preserve"> 2026 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pacing w:val="-4"/>
                <w:highlight w:val="white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  <w:p>
            <w:pPr>
              <w:contextualSpacing/>
              <w:ind w:left="113" w:right="113" w:firstLine="283"/>
              <w:jc w:val="both"/>
              <w:tabs>
                <w:tab w:val="left" w:pos="993" w:leader="none"/>
              </w:tabs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  <w:lang w:eastAsia="ru-RU"/>
              </w:rPr>
              <w:t xml:space="preserve">2.7. П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highlight w:val="white"/>
                <w:lang w:eastAsia="ru-RU"/>
              </w:rPr>
              <w:t xml:space="preserve">овестка дня общего собрания участников (акционеров) эмитента: 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highlight w:val="white"/>
              </w:rPr>
            </w:r>
          </w:p>
          <w:p>
            <w:pPr>
              <w:pStyle w:val="737"/>
              <w:numPr>
                <w:ilvl w:val="0"/>
                <w:numId w:val="9"/>
              </w:numPr>
              <w:ind w:right="113"/>
              <w:jc w:val="both"/>
              <w:spacing w:after="0" w:line="240" w:lineRule="auto"/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  <w:lang w:eastAsia="ru-RU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  <w:lang w:eastAsia="ru-RU"/>
              </w:rPr>
              <w:t xml:space="preserve">О досрочном прекращении полномочий членов Совета директоров ПАО «ОГК-2».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</w:rPr>
            </w:r>
          </w:p>
          <w:p>
            <w:pPr>
              <w:pStyle w:val="737"/>
              <w:numPr>
                <w:ilvl w:val="0"/>
                <w:numId w:val="9"/>
              </w:numPr>
              <w:ind w:right="113"/>
              <w:jc w:val="both"/>
              <w:spacing w:after="0" w:line="240" w:lineRule="auto"/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  <w:lang w:eastAsia="ru-RU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  <w:lang w:eastAsia="ru-RU"/>
              </w:rPr>
              <w:t xml:space="preserve">Об избрании членов Совета директоров ПАО «ОГК-2».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</w:rPr>
            </w:r>
          </w:p>
          <w:p>
            <w:pPr>
              <w:pStyle w:val="737"/>
              <w:numPr>
                <w:ilvl w:val="0"/>
                <w:numId w:val="9"/>
              </w:numPr>
              <w:ind w:right="113"/>
              <w:jc w:val="both"/>
              <w:spacing w:after="0" w:line="240" w:lineRule="auto"/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  <w:lang w:eastAsia="ru-RU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  <w:lang w:eastAsia="ru-RU"/>
              </w:rPr>
              <w:t xml:space="preserve">О внесении изменений в Устав ПАО «ОГК-2».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</w:rPr>
            </w:r>
          </w:p>
          <w:p>
            <w:pPr>
              <w:pStyle w:val="737"/>
              <w:numPr>
                <w:ilvl w:val="0"/>
                <w:numId w:val="9"/>
              </w:numPr>
              <w:ind w:right="113"/>
              <w:jc w:val="both"/>
              <w:spacing w:after="0" w:line="240" w:lineRule="auto"/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  <w:lang w:eastAsia="ru-RU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  <w:lang w:eastAsia="ru-RU"/>
              </w:rPr>
              <w:t xml:space="preserve">Об утверждении внутренних документов, регулирующих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  <w:lang w:eastAsia="ru-RU"/>
              </w:rPr>
              <w:t xml:space="preserve">деятельность органов ПАО «ОГК-2» в новой редакции.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</w:rPr>
            </w:r>
          </w:p>
          <w:p>
            <w:pPr>
              <w:pStyle w:val="737"/>
              <w:numPr>
                <w:ilvl w:val="0"/>
                <w:numId w:val="9"/>
              </w:numPr>
              <w:ind w:right="113"/>
              <w:jc w:val="both"/>
              <w:spacing w:after="0" w:line="240" w:lineRule="auto"/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  <w:lang w:eastAsia="ru-RU"/>
              </w:rPr>
              <w:t xml:space="preserve">Об определении количественного состава Совета директоров ПАО «ОГК-2».</w:t>
            </w:r>
            <w:bookmarkStart w:id="0" w:name="_GoBack"/>
            <w:r>
              <w:rPr>
                <w:sz w:val="20"/>
                <w:szCs w:val="20"/>
              </w:rPr>
            </w:r>
            <w:bookmarkEnd w:id="0"/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white"/>
              </w:rPr>
            </w:r>
            <w:r/>
          </w:p>
          <w:p>
            <w:pPr>
              <w:ind w:left="113" w:right="113" w:firstLine="283"/>
              <w:jc w:val="both"/>
              <w:tabs>
                <w:tab w:val="left" w:pos="426" w:leader="none"/>
                <w:tab w:val="left" w:pos="851" w:leader="none"/>
                <w:tab w:val="left" w:pos="993" w:leader="none"/>
              </w:tabs>
              <w:rPr>
                <w:rFonts w:eastAsia="Calibri"/>
                <w:color w:val="000000" w:themeColor="text1"/>
                <w:spacing w:val="-4"/>
                <w:highlight w:val="yellow"/>
              </w:rPr>
              <w:suppressLineNumbers w:val="0"/>
            </w:pPr>
            <w:r>
              <w:rPr>
                <w:color w:val="000000" w:themeColor="text1"/>
                <w:highlight w:val="white"/>
                <w:lang w:eastAsia="ru-RU"/>
              </w:rPr>
              <w:t xml:space="preserve">2.8. П</w:t>
            </w:r>
            <w:r>
              <w:rPr>
                <w:color w:val="000000" w:themeColor="text1"/>
                <w:highlight w:val="white"/>
                <w:lang w:eastAsia="ru-RU"/>
              </w:rPr>
              <w:t xml:space="preserve">орядок ознакомления с информацией (материалами), подлежащей предоставлению при подготовке к проведению общего собрания участников (акционеров) эмитента, и адрес, по кот</w:t>
            </w:r>
            <w:r>
              <w:rPr>
                <w:color w:val="000000" w:themeColor="text1"/>
                <w:highlight w:val="white"/>
                <w:lang w:eastAsia="ru-RU"/>
              </w:rPr>
              <w:t xml:space="preserve">орому с ней можно ознакомиться:</w:t>
            </w:r>
            <w:r>
              <w:rPr>
                <w:rFonts w:eastAsia="Calibri"/>
                <w:bCs/>
                <w:color w:val="000000" w:themeColor="text1"/>
                <w:spacing w:val="-4"/>
                <w:highlight w:val="white"/>
              </w:rPr>
              <w:t xml:space="preserve"> </w:t>
            </w:r>
            <w:r>
              <w:rPr>
                <w:rFonts w:eastAsia="Calibri"/>
                <w:color w:val="000000" w:themeColor="text1"/>
                <w:spacing w:val="-4"/>
                <w:highlight w:val="white"/>
              </w:rPr>
            </w:r>
            <w:r>
              <w:rPr>
                <w:rFonts w:eastAsia="Calibri"/>
                <w:color w:val="000000" w:themeColor="text1"/>
                <w:spacing w:val="-4"/>
                <w:highlight w:val="yellow"/>
              </w:rPr>
            </w:r>
          </w:p>
          <w:p>
            <w:pPr>
              <w:pStyle w:val="896"/>
              <w:ind w:left="113" w:right="113" w:firstLine="283"/>
              <w:spacing w:before="20" w:after="20"/>
              <w:tabs>
                <w:tab w:val="left" w:pos="426" w:leader="none"/>
              </w:tabs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  <w:suppressLineNumbers w:val="0"/>
            </w:pPr>
            <w:r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  <w:t xml:space="preserve">С </w:t>
            </w:r>
            <w:r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  <w:t xml:space="preserve">информацией (материалами) </w:t>
            </w:r>
            <w:r>
              <w:rPr>
                <w:b/>
                <w:bCs/>
                <w:color w:val="000000" w:themeColor="text1"/>
                <w:sz w:val="20"/>
                <w:szCs w:val="20"/>
                <w:highlight w:val="white"/>
                <w:lang w:eastAsia="ru-RU"/>
              </w:rPr>
              <w:t xml:space="preserve">подлежащей предоставлению при подготовке к проведению общего собрания участников (акционеров) эмитента</w:t>
            </w:r>
            <w:r>
              <w:rPr>
                <w:color w:val="000000" w:themeColor="text1"/>
                <w:highlight w:val="white"/>
                <w:lang w:eastAsia="ru-RU"/>
              </w:rPr>
              <w:t xml:space="preserve"> </w:t>
            </w:r>
            <w:r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  <w:t xml:space="preserve">лица, имеющие право голоса при принятии решений Собрания, могут ознакомиться в течение 20 дней до даты заседания (Собрания)  в рабочие дни с 09 часов 00 минут до 16 часов 00 минут по адресу: г. Санкт-Петербург, вн.тер.г. поселок </w:t>
            </w:r>
            <w:r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  <w:t xml:space="preserve">Шушары, ш. Петербургское, д.66, к. 1, литера А (ПАО «ОГК-2»), а также во время проведения Собрания - по месту его проведения.</w:t>
            </w:r>
            <w:r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pStyle w:val="896"/>
              <w:ind w:left="113" w:right="113" w:firstLine="283"/>
              <w:spacing w:before="20" w:after="20"/>
              <w:rPr>
                <w:b/>
                <w:bCs/>
                <w:color w:val="000000" w:themeColor="text1"/>
                <w:sz w:val="20"/>
                <w:szCs w:val="20"/>
                <w:highlight w:val="yellow"/>
              </w:rPr>
              <w:suppressLineNumbers w:val="0"/>
            </w:pPr>
            <w:r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  <w:t xml:space="preserve">Указанная информация (материалы) также рассылается номинальным держателям акций в электронном виде не позднее «30» ноября 2026 г.</w:t>
            </w:r>
            <w:r>
              <w:rPr>
                <w:b/>
                <w:bCs/>
                <w:color w:val="000000" w:themeColor="text1"/>
                <w:sz w:val="20"/>
                <w:szCs w:val="20"/>
                <w:highlight w:val="yellow"/>
              </w:rPr>
            </w:r>
            <w:r>
              <w:rPr>
                <w:b/>
                <w:bCs/>
                <w:color w:val="000000" w:themeColor="text1"/>
                <w:sz w:val="20"/>
                <w:szCs w:val="20"/>
                <w:highlight w:val="yellow"/>
              </w:rPr>
            </w:r>
          </w:p>
          <w:p>
            <w:pPr>
              <w:pStyle w:val="896"/>
              <w:ind w:left="113" w:right="113" w:firstLine="283"/>
              <w:spacing w:before="20" w:after="20"/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  <w:suppressLineNumbers w:val="0"/>
            </w:pPr>
            <w:r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color w:val="000000" w:themeColor="text1"/>
                <w:sz w:val="20"/>
                <w:szCs w:val="20"/>
                <w:highlight w:val="white"/>
                <w:lang w:eastAsia="ru-RU"/>
              </w:rPr>
              <w:t xml:space="preserve">2.9. И</w:t>
            </w:r>
            <w:r>
              <w:rPr>
                <w:color w:val="000000" w:themeColor="text1"/>
                <w:sz w:val="20"/>
                <w:szCs w:val="20"/>
                <w:highlight w:val="white"/>
                <w:lang w:eastAsia="ru-RU"/>
              </w:rPr>
              <w:t xml:space="preserve">дентификационные признаки ценных бумаг (акций, владельцы которых имеют право на участие в общем</w:t>
            </w:r>
            <w:r>
              <w:rPr>
                <w:color w:val="000000" w:themeColor="text1"/>
                <w:sz w:val="20"/>
                <w:szCs w:val="20"/>
                <w:highlight w:val="white"/>
                <w:lang w:eastAsia="ru-RU"/>
              </w:rPr>
              <w:t xml:space="preserve"> собрании акционеров эмитента): </w:t>
            </w:r>
            <w:r>
              <w:rPr>
                <w:b/>
                <w:color w:val="000000" w:themeColor="text1"/>
                <w:sz w:val="20"/>
                <w:szCs w:val="20"/>
                <w:highlight w:val="white"/>
              </w:rPr>
              <w:t xml:space="preserve">акции обыкновенные, государственный регистрационный </w:t>
            </w:r>
            <w:r>
              <w:rPr>
                <w:b/>
                <w:color w:val="000000" w:themeColor="text1"/>
                <w:sz w:val="20"/>
                <w:szCs w:val="20"/>
                <w:highlight w:val="white"/>
              </w:rPr>
              <w:br/>
            </w:r>
            <w:r>
              <w:rPr>
                <w:b/>
                <w:color w:val="000000" w:themeColor="text1"/>
                <w:sz w:val="20"/>
                <w:szCs w:val="20"/>
                <w:highlight w:val="white"/>
              </w:rPr>
              <w:t xml:space="preserve">номер 1-02-65105-D от 19.04.2007, международный код (номер) идентификации ценных бумаг (ISIN): RU000A0JNG55, международный код классификации финансовых инструментов (CFI): ESVXFR.</w:t>
            </w:r>
            <w:r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b/>
                <w:bCs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ind w:left="113" w:right="113" w:firstLine="284"/>
              <w:jc w:val="both"/>
              <w:rPr>
                <w:b/>
                <w:color w:val="000000" w:themeColor="text1"/>
                <w:highlight w:val="white"/>
              </w:rPr>
              <w:suppressLineNumbers w:val="0"/>
            </w:pPr>
            <w:r>
              <w:rPr>
                <w:color w:val="000000" w:themeColor="text1"/>
                <w:highlight w:val="white"/>
                <w:lang w:eastAsia="ru-RU"/>
              </w:rPr>
              <w:t xml:space="preserve">2.10. Л</w:t>
            </w:r>
            <w:r>
              <w:rPr>
                <w:color w:val="000000" w:themeColor="text1"/>
                <w:highlight w:val="white"/>
                <w:lang w:eastAsia="ru-RU"/>
              </w:rPr>
              <w:t xml:space="preserve">ицо или орган управления эмитента, принявшее (принявший) решение о созыве общего собрания участников (акционеров) эмитента, и дата принятия решения, а если таким органом</w:t>
            </w:r>
            <w:r>
              <w:rPr>
                <w:color w:val="000000" w:themeColor="text1"/>
                <w:highlight w:val="white"/>
                <w:lang w:eastAsia="ru-RU"/>
              </w:rPr>
              <w:t xml:space="preserve"> эмитента является его коллегиальный исполнительный орган или совет директоров (наблюдательный совет) - также дата составления и номер протокола заседания коллегиального исполнительного органа или совета директоров (наблюдательного совета) эмитента, на кот</w:t>
            </w:r>
            <w:r>
              <w:rPr>
                <w:color w:val="000000" w:themeColor="text1"/>
                <w:highlight w:val="white"/>
                <w:lang w:eastAsia="ru-RU"/>
              </w:rPr>
              <w:t xml:space="preserve">ором принято указанное решение: </w:t>
            </w:r>
            <w:r>
              <w:rPr>
                <w:b/>
                <w:color w:val="000000" w:themeColor="text1"/>
                <w:highlight w:val="white"/>
              </w:rPr>
              <w:t xml:space="preserve">решение Совета директоров ПАО «ОГК-2» от 15.10</w:t>
            </w:r>
            <w:r>
              <w:rPr>
                <w:b/>
                <w:color w:val="000000" w:themeColor="text1"/>
                <w:highlight w:val="white"/>
              </w:rPr>
              <w:t xml:space="preserve">.2026 </w:t>
            </w:r>
            <w:r>
              <w:rPr>
                <w:b/>
                <w:color w:val="000000" w:themeColor="text1"/>
                <w:highlight w:val="white"/>
              </w:rPr>
              <w:t xml:space="preserve">(п</w:t>
            </w:r>
            <w:r>
              <w:rPr>
                <w:b/>
                <w:color w:val="000000" w:themeColor="text1"/>
                <w:highlight w:val="white"/>
              </w:rPr>
              <w:t xml:space="preserve">ротокол от 15</w:t>
            </w:r>
            <w:r>
              <w:rPr>
                <w:b/>
                <w:color w:val="000000" w:themeColor="text1"/>
                <w:highlight w:val="white"/>
              </w:rPr>
              <w:t xml:space="preserve">.10</w:t>
            </w:r>
            <w:r>
              <w:rPr>
                <w:b/>
                <w:color w:val="000000" w:themeColor="text1"/>
                <w:highlight w:val="white"/>
              </w:rPr>
              <w:t xml:space="preserve">.2026 № 390</w:t>
            </w:r>
            <w:r>
              <w:rPr>
                <w:b/>
                <w:color w:val="000000" w:themeColor="text1"/>
                <w:highlight w:val="white"/>
              </w:rPr>
              <w:t xml:space="preserve">).</w:t>
            </w:r>
            <w:r>
              <w:rPr>
                <w:b/>
                <w:color w:val="000000" w:themeColor="text1"/>
                <w:highlight w:val="white"/>
              </w:rPr>
            </w:r>
            <w:r>
              <w:rPr>
                <w:b/>
                <w:color w:val="000000" w:themeColor="text1"/>
                <w:highlight w:val="white"/>
              </w:rPr>
            </w:r>
          </w:p>
          <w:p>
            <w:pPr>
              <w:pStyle w:val="765"/>
              <w:ind w:left="113" w:right="113" w:firstLine="284"/>
              <w:jc w:val="both"/>
              <w:spacing w:before="0" w:after="0"/>
              <w:rPr>
                <w:rFonts w:eastAsia="Times New Roman"/>
                <w:color w:val="000000" w:themeColor="text1"/>
                <w:sz w:val="20"/>
                <w:szCs w:val="20"/>
                <w:highlight w:val="white"/>
              </w:rPr>
              <w:suppressLineNumbers w:val="0"/>
            </w:pPr>
            <w:r>
              <w:rPr>
                <w:rFonts w:eastAsia="Times New Roman"/>
                <w:color w:val="000000" w:themeColor="text1"/>
                <w:sz w:val="20"/>
                <w:szCs w:val="20"/>
                <w:highlight w:val="white"/>
                <w:lang w:val="ru-RU" w:eastAsia="ru-RU"/>
              </w:rPr>
              <w:t xml:space="preserve">2.11. Наименование суда, вынесшего ре</w:t>
            </w:r>
            <w:r>
              <w:rPr>
                <w:rFonts w:eastAsia="Times New Roman"/>
                <w:color w:val="000000" w:themeColor="text1"/>
                <w:sz w:val="20"/>
                <w:szCs w:val="20"/>
                <w:highlight w:val="white"/>
                <w:lang w:val="ru-RU" w:eastAsia="ru-RU"/>
              </w:rPr>
              <w:t xml:space="preserve">шение о понуждении эмитента провести внеочередное общее собрание участников (акционеров), дата и иные реквизиты (при наличии) такого решения, в случае если внеочередное общее собрание участников (акционеров) эмитента проводится во исполнение решения суда: </w:t>
            </w:r>
            <w:r>
              <w:rPr>
                <w:rFonts w:eastAsia="Times New Roman"/>
                <w:b/>
                <w:color w:val="000000" w:themeColor="text1"/>
                <w:sz w:val="20"/>
                <w:szCs w:val="20"/>
                <w:highlight w:val="white"/>
                <w:lang w:val="ru-RU" w:eastAsia="ru-RU"/>
              </w:rPr>
              <w:t xml:space="preserve">не применимо</w:t>
            </w:r>
            <w:r>
              <w:rPr>
                <w:rFonts w:eastAsia="Times New Roman"/>
                <w:b/>
                <w:color w:val="000000" w:themeColor="text1"/>
                <w:sz w:val="20"/>
                <w:szCs w:val="20"/>
                <w:highlight w:val="white"/>
                <w:lang w:val="ru-RU" w:eastAsia="ru-RU"/>
              </w:rPr>
              <w:t xml:space="preserve">.</w:t>
            </w:r>
            <w:r>
              <w:rPr>
                <w:rFonts w:eastAsia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eastAsia="Times New Roman"/>
                <w:color w:val="000000" w:themeColor="text1"/>
                <w:sz w:val="20"/>
                <w:szCs w:val="20"/>
                <w:highlight w:val="white"/>
              </w:rPr>
            </w:r>
          </w:p>
        </w:tc>
      </w:tr>
    </w:tbl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tbl>
      <w:tblPr>
        <w:tblW w:w="10344" w:type="dxa"/>
        <w:tblInd w:w="-4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1"/>
        <w:gridCol w:w="357"/>
        <w:gridCol w:w="384"/>
        <w:gridCol w:w="1317"/>
        <w:gridCol w:w="416"/>
        <w:gridCol w:w="307"/>
        <w:gridCol w:w="1209"/>
        <w:gridCol w:w="1338"/>
        <w:gridCol w:w="462"/>
        <w:gridCol w:w="3072"/>
        <w:gridCol w:w="251"/>
      </w:tblGrid>
      <w:tr>
        <w:tblPrEx/>
        <w:trPr>
          <w:cantSplit/>
          <w:trHeight w:val="248"/>
        </w:trPr>
        <w:tc>
          <w:tcPr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44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3. Подпись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cantSplit/>
          <w:trHeight w:val="859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</w:tcBorders>
            <w:tcW w:w="5221" w:type="dxa"/>
            <w:textDirection w:val="lrTb"/>
            <w:noWrap w:val="false"/>
          </w:tcPr>
          <w:p>
            <w:pPr>
              <w:pStyle w:val="738"/>
              <w:rPr>
                <w:rFonts w:eastAsia="Times New Roman" w:cs="Times New Roman"/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color w:val="000000" w:themeColor="text1"/>
              </w:rPr>
              <w:t xml:space="preserve">3.1. </w:t>
            </w:r>
            <w:r>
              <w:rPr>
                <w:rFonts w:eastAsia="Times New Roman" w:cs="Times New Roman"/>
                <w:b/>
                <w:color w:val="000000" w:themeColor="text1"/>
              </w:rPr>
              <w:t xml:space="preserve">Начальник Управления корпоративных и имущественных отношений, действующий на основании доверенности №78/362-н/78-2025-3-1278 от 10.12.2025 </w:t>
            </w:r>
            <w:r>
              <w:rPr>
                <w:rFonts w:eastAsia="Times New Roman" w:cs="Times New Roman"/>
                <w:b/>
                <w:bCs/>
                <w:color w:val="000000" w:themeColor="text1"/>
              </w:rPr>
            </w:r>
            <w:r>
              <w:rPr>
                <w:rFonts w:eastAsia="Times New Roman" w:cs="Times New Roman"/>
                <w:b/>
                <w:bCs/>
                <w:color w:val="000000" w:themeColor="text1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800" w:type="dxa"/>
            <w:vAlign w:val="bottom"/>
            <w:textDirection w:val="lrTb"/>
            <w:noWrap w:val="false"/>
          </w:tcPr>
          <w:p>
            <w:pPr>
              <w:jc w:val="righ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</w:tcBorders>
            <w:tcW w:w="3072" w:type="dxa"/>
            <w:vAlign w:val="bottom"/>
            <w:textDirection w:val="lrTb"/>
            <w:noWrap w:val="false"/>
          </w:tcPr>
          <w:p>
            <w:pPr>
              <w:jc w:val="righ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Е.Н. Егорова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right w:val="single" w:color="000000" w:sz="4" w:space="0"/>
            </w:tcBorders>
            <w:tcW w:w="251" w:type="dxa"/>
            <w:vAlign w:val="bottom"/>
            <w:textDirection w:val="lrTb"/>
            <w:noWrap w:val="false"/>
          </w:tcPr>
          <w:p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</w:tr>
      <w:tr>
        <w:tblPrEx/>
        <w:trPr>
          <w:cantSplit/>
          <w:trHeight w:val="280" w:hRule="exact"/>
        </w:trPr>
        <w:tc>
          <w:tcPr>
            <w:gridSpan w:val="7"/>
            <w:tcBorders>
              <w:left w:val="single" w:color="000000" w:sz="4" w:space="0"/>
            </w:tcBorders>
            <w:tcW w:w="5221" w:type="dxa"/>
            <w:textDirection w:val="lrTb"/>
            <w:noWrap w:val="false"/>
          </w:tcPr>
          <w:p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gridSpan w:val="2"/>
            <w:tcW w:w="180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(подпись)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3072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right w:val="single" w:color="000000" w:sz="4" w:space="0"/>
            </w:tcBorders>
            <w:tcW w:w="251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cantSplit/>
        </w:trPr>
        <w:tc>
          <w:tcPr>
            <w:tcBorders>
              <w:left w:val="single" w:color="000000" w:sz="4" w:space="0"/>
            </w:tcBorders>
            <w:tcW w:w="1231" w:type="dxa"/>
            <w:vAlign w:val="bottom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3.2. Дата      “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bottom w:val="single" w:color="000000" w:sz="4" w:space="0"/>
            </w:tcBorders>
            <w:tcW w:w="357" w:type="dxa"/>
            <w:vAlign w:val="bottom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16</w:t>
            </w:r>
            <w:r>
              <w:rPr>
                <w:color w:val="000000" w:themeColor="text1"/>
              </w:rPr>
            </w:r>
          </w:p>
        </w:tc>
        <w:tc>
          <w:tcPr>
            <w:tcW w:w="384" w:type="dxa"/>
            <w:vAlign w:val="bottom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”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bottom w:val="single" w:color="000000" w:sz="4" w:space="0"/>
            </w:tcBorders>
            <w:tcW w:w="1317" w:type="dxa"/>
            <w:vAlign w:val="bottom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октября</w:t>
            </w:r>
            <w:r>
              <w:rPr>
                <w:color w:val="000000" w:themeColor="text1"/>
              </w:rPr>
            </w:r>
          </w:p>
        </w:tc>
        <w:tc>
          <w:tcPr>
            <w:tcW w:w="416" w:type="dxa"/>
            <w:vAlign w:val="bottom"/>
            <w:textDirection w:val="lrTb"/>
            <w:noWrap w:val="false"/>
          </w:tcPr>
          <w:p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20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bottom w:val="single" w:color="000000" w:sz="4" w:space="0"/>
            </w:tcBorders>
            <w:tcW w:w="307" w:type="dxa"/>
            <w:vAlign w:val="bottom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</w:t>
            </w:r>
            <w:r>
              <w:rPr>
                <w:color w:val="000000" w:themeColor="text1"/>
              </w:rPr>
              <w:t xml:space="preserve">6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209" w:type="dxa"/>
            <w:vAlign w:val="bottom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W w:w="1338" w:type="dxa"/>
            <w:vAlign w:val="bottom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tcBorders>
              <w:right w:val="single" w:color="000000" w:sz="4" w:space="0"/>
            </w:tcBorders>
            <w:tcW w:w="3785" w:type="dxa"/>
            <w:vAlign w:val="bottom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cantSplit/>
        </w:trPr>
        <w:tc>
          <w:tcPr>
            <w:gridSpan w:val="7"/>
            <w:tcBorders>
              <w:left w:val="single" w:color="000000" w:sz="4" w:space="0"/>
              <w:bottom w:val="single" w:color="000000" w:sz="4" w:space="0"/>
            </w:tcBorders>
            <w:tcW w:w="5221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bottom w:val="single" w:color="000000" w:sz="4" w:space="0"/>
            </w:tcBorders>
            <w:tcW w:w="1338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gridSpan w:val="3"/>
            <w:tcBorders>
              <w:bottom w:val="single" w:color="000000" w:sz="4" w:space="0"/>
              <w:right w:val="single" w:color="000000" w:sz="4" w:space="0"/>
            </w:tcBorders>
            <w:tcW w:w="3785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</w:tbl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sectPr>
      <w:footnotePr/>
      <w:endnotePr/>
      <w:type w:val="nextPage"/>
      <w:pgSz w:w="11906" w:h="16838" w:orient="portrait"/>
      <w:pgMar w:top="737" w:right="794" w:bottom="794" w:left="1588" w:header="284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ahoma">
    <w:panose1 w:val="020B0606040504020204"/>
  </w:font>
  <w:font w:name="Open Sans">
    <w:panose1 w:val="020B0606030504020204"/>
  </w:font>
  <w:font w:name="Calibri">
    <w:panose1 w:val="020F0502020204030204"/>
  </w:font>
  <w:font w:name="Arial">
    <w:panose1 w:val="020B0604020202020204"/>
  </w:font>
  <w:font w:name="WenQuanYi Micro Hei">
    <w:panose1 w:val="020B0604020202020204"/>
  </w:font>
  <w:font w:name="Courier New">
    <w:panose1 w:val="02070409020205020404"/>
  </w:font>
  <w:font w:name="Lohit Devanagari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60" w:hanging="360"/>
      </w:pPr>
      <w:rPr>
        <w:rFonts w:hint="default"/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2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5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7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9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1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3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5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7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94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5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7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9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1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3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5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7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94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WenQuanYi Micro Hei" w:cs="Lohit Devanagari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 w:default="1">
    <w:name w:val="Normal"/>
    <w:qFormat/>
    <w:rPr>
      <w:rFonts w:eastAsia="Times New Roman" w:cs="Times New Roman"/>
      <w:lang w:bidi="ar-SA"/>
    </w:rPr>
  </w:style>
  <w:style w:type="paragraph" w:styleId="667">
    <w:name w:val="Heading 1"/>
    <w:basedOn w:val="66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68">
    <w:name w:val="Heading 2"/>
    <w:basedOn w:val="66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9">
    <w:name w:val="Heading 3"/>
    <w:basedOn w:val="66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0">
    <w:name w:val="Heading 4"/>
    <w:basedOn w:val="66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1">
    <w:name w:val="Heading 5"/>
    <w:basedOn w:val="66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2">
    <w:name w:val="Heading 6"/>
    <w:basedOn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3">
    <w:name w:val="Heading 7"/>
    <w:basedOn w:val="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66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75">
    <w:name w:val="Heading 9"/>
    <w:basedOn w:val="66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6" w:default="1">
    <w:name w:val="Default Paragraph Font"/>
    <w:uiPriority w:val="1"/>
    <w:semiHidden/>
    <w:unhideWhenUsed/>
  </w:style>
  <w:style w:type="table" w:styleId="67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8" w:default="1">
    <w:name w:val="No List"/>
    <w:uiPriority w:val="99"/>
    <w:semiHidden/>
    <w:unhideWhenUsed/>
  </w:style>
  <w:style w:type="character" w:styleId="679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80" w:customStyle="1">
    <w:name w:val="Heading 2 Char"/>
    <w:uiPriority w:val="9"/>
    <w:rPr>
      <w:rFonts w:ascii="Arial" w:hAnsi="Arial" w:eastAsia="Arial" w:cs="Arial"/>
      <w:sz w:val="34"/>
    </w:rPr>
  </w:style>
  <w:style w:type="character" w:styleId="681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682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683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684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685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6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687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688" w:customStyle="1">
    <w:name w:val="Title Char"/>
    <w:uiPriority w:val="10"/>
    <w:rPr>
      <w:sz w:val="48"/>
      <w:szCs w:val="48"/>
    </w:rPr>
  </w:style>
  <w:style w:type="character" w:styleId="689" w:customStyle="1">
    <w:name w:val="Subtitle Char"/>
    <w:uiPriority w:val="11"/>
    <w:rPr>
      <w:sz w:val="24"/>
      <w:szCs w:val="24"/>
    </w:rPr>
  </w:style>
  <w:style w:type="character" w:styleId="690" w:customStyle="1">
    <w:name w:val="Quote Char"/>
    <w:uiPriority w:val="29"/>
    <w:rPr>
      <w:i/>
    </w:rPr>
  </w:style>
  <w:style w:type="character" w:styleId="691" w:customStyle="1">
    <w:name w:val="Intense Quote Char"/>
    <w:uiPriority w:val="30"/>
    <w:rPr>
      <w:i/>
    </w:rPr>
  </w:style>
  <w:style w:type="character" w:styleId="692" w:customStyle="1">
    <w:name w:val="Header Char"/>
    <w:uiPriority w:val="99"/>
  </w:style>
  <w:style w:type="character" w:styleId="693" w:customStyle="1">
    <w:name w:val="Footer Char"/>
    <w:uiPriority w:val="99"/>
  </w:style>
  <w:style w:type="character" w:styleId="694" w:customStyle="1">
    <w:name w:val="Caption Char"/>
    <w:uiPriority w:val="35"/>
  </w:style>
  <w:style w:type="character" w:styleId="695" w:customStyle="1">
    <w:name w:val="Footnote Text Char"/>
    <w:uiPriority w:val="99"/>
    <w:rPr>
      <w:sz w:val="18"/>
    </w:rPr>
  </w:style>
  <w:style w:type="character" w:styleId="696" w:customStyle="1">
    <w:name w:val="Символ сноски"/>
    <w:uiPriority w:val="99"/>
    <w:unhideWhenUsed/>
    <w:rPr>
      <w:vertAlign w:val="superscript"/>
    </w:rPr>
  </w:style>
  <w:style w:type="character" w:styleId="697">
    <w:name w:val="footnote reference"/>
    <w:uiPriority w:val="99"/>
    <w:rPr>
      <w:vertAlign w:val="superscript"/>
    </w:rPr>
  </w:style>
  <w:style w:type="character" w:styleId="698" w:customStyle="1">
    <w:name w:val="Endnote Text Char"/>
    <w:uiPriority w:val="99"/>
    <w:rPr>
      <w:sz w:val="20"/>
    </w:rPr>
  </w:style>
  <w:style w:type="character" w:styleId="699" w:customStyle="1">
    <w:name w:val="Символ концевой сноски"/>
    <w:uiPriority w:val="99"/>
    <w:semiHidden/>
    <w:unhideWhenUsed/>
    <w:rPr>
      <w:vertAlign w:val="superscript"/>
    </w:rPr>
  </w:style>
  <w:style w:type="character" w:styleId="700">
    <w:name w:val="endnote reference"/>
    <w:uiPriority w:val="99"/>
    <w:rPr>
      <w:vertAlign w:val="superscript"/>
    </w:rPr>
  </w:style>
  <w:style w:type="character" w:styleId="701" w:customStyle="1">
    <w:name w:val="WW8Num3z0"/>
  </w:style>
  <w:style w:type="character" w:styleId="702" w:customStyle="1">
    <w:name w:val="WW8Num6z0"/>
    <w:rPr>
      <w:rFonts w:ascii="Times New Roman" w:hAnsi="Times New Roman" w:eastAsia="Times New Roman" w:cs="Times New Roman"/>
    </w:rPr>
  </w:style>
  <w:style w:type="character" w:styleId="703" w:customStyle="1">
    <w:name w:val="WW8Num6z1"/>
  </w:style>
  <w:style w:type="character" w:styleId="704" w:customStyle="1">
    <w:name w:val="WW8Num7z1"/>
  </w:style>
  <w:style w:type="character" w:styleId="705" w:customStyle="1">
    <w:name w:val="WW8Num8z0"/>
  </w:style>
  <w:style w:type="character" w:styleId="706" w:customStyle="1">
    <w:name w:val="WW8Num11z0"/>
  </w:style>
  <w:style w:type="character" w:styleId="707" w:customStyle="1">
    <w:name w:val="WW8Num13z0"/>
  </w:style>
  <w:style w:type="character" w:styleId="708" w:customStyle="1">
    <w:name w:val="WW8Num14z0"/>
  </w:style>
  <w:style w:type="character" w:styleId="709" w:customStyle="1">
    <w:name w:val="WW8Num15z0"/>
  </w:style>
  <w:style w:type="character" w:styleId="710" w:customStyle="1">
    <w:name w:val="WW8Num16z0"/>
  </w:style>
  <w:style w:type="character" w:styleId="711" w:customStyle="1">
    <w:name w:val="WW8Num17z0"/>
  </w:style>
  <w:style w:type="character" w:styleId="712" w:customStyle="1">
    <w:name w:val="WW8Num17z2"/>
  </w:style>
  <w:style w:type="character" w:styleId="713" w:customStyle="1">
    <w:name w:val="WW8Num18z0"/>
    <w:rPr>
      <w:color w:val="000000"/>
    </w:rPr>
  </w:style>
  <w:style w:type="character" w:styleId="714" w:customStyle="1">
    <w:name w:val="WW8Num20z0"/>
  </w:style>
  <w:style w:type="character" w:styleId="715" w:customStyle="1">
    <w:name w:val="WW8Num23z0"/>
  </w:style>
  <w:style w:type="character" w:styleId="716" w:customStyle="1">
    <w:name w:val="WW8Num23z1"/>
    <w:rPr>
      <w:sz w:val="26"/>
      <w:szCs w:val="26"/>
    </w:rPr>
  </w:style>
  <w:style w:type="character" w:styleId="717" w:customStyle="1">
    <w:name w:val="WW8Num23z2"/>
  </w:style>
  <w:style w:type="character" w:styleId="718" w:customStyle="1">
    <w:name w:val="WW8Num24z0"/>
  </w:style>
  <w:style w:type="character" w:styleId="719" w:customStyle="1">
    <w:name w:val="WW8Num25z0"/>
  </w:style>
  <w:style w:type="character" w:styleId="720" w:customStyle="1">
    <w:name w:val="WW8Num25z1"/>
  </w:style>
  <w:style w:type="character" w:styleId="721" w:customStyle="1">
    <w:name w:val="WW8Num26z0"/>
  </w:style>
  <w:style w:type="character" w:styleId="722" w:customStyle="1">
    <w:name w:val="WW8Num27z0"/>
    <w:rPr>
      <w:color w:val="000000"/>
    </w:rPr>
  </w:style>
  <w:style w:type="character" w:styleId="723">
    <w:name w:val="page number"/>
    <w:basedOn w:val="676"/>
  </w:style>
  <w:style w:type="character" w:styleId="724">
    <w:name w:val="Hyperlink"/>
    <w:uiPriority w:val="99"/>
    <w:rPr>
      <w:color w:val="0000ff"/>
      <w:u w:val="single"/>
    </w:rPr>
  </w:style>
  <w:style w:type="character" w:styleId="725" w:customStyle="1">
    <w:name w:val="Основной текст с отступом 2 Знак"/>
    <w:rPr>
      <w:sz w:val="28"/>
      <w:szCs w:val="24"/>
    </w:rPr>
  </w:style>
  <w:style w:type="character" w:styleId="726" w:customStyle="1">
    <w:name w:val="Стандартный HTML Знак"/>
    <w:rPr>
      <w:rFonts w:ascii="Courier New" w:hAnsi="Courier New" w:cs="Courier New"/>
    </w:rPr>
  </w:style>
  <w:style w:type="character" w:styleId="727" w:customStyle="1">
    <w:name w:val="Обычный (веб) Знак"/>
    <w:rPr>
      <w:rFonts w:eastAsia="Calibri"/>
      <w:sz w:val="24"/>
      <w:szCs w:val="24"/>
      <w:lang w:val="en-GB"/>
    </w:rPr>
  </w:style>
  <w:style w:type="character" w:styleId="728">
    <w:name w:val="Strong"/>
    <w:rPr>
      <w:b/>
      <w:bCs/>
    </w:rPr>
  </w:style>
  <w:style w:type="character" w:styleId="729" w:customStyle="1">
    <w:name w:val="Style 12 pt Bold Italic"/>
    <w:rPr>
      <w:rFonts w:ascii="Times New Roman" w:hAnsi="Times New Roman" w:cs="Times New Roman"/>
      <w:b/>
      <w:bCs/>
      <w:i/>
      <w:iCs/>
      <w:sz w:val="22"/>
    </w:rPr>
  </w:style>
  <w:style w:type="character" w:styleId="730">
    <w:name w:val="FollowedHyperlink"/>
    <w:rPr>
      <w:color w:val="954f72"/>
      <w:u w:val="single"/>
    </w:rPr>
  </w:style>
  <w:style w:type="character" w:styleId="731" w:customStyle="1">
    <w:name w:val="Символ нумерации"/>
  </w:style>
  <w:style w:type="paragraph" w:styleId="732" w:customStyle="1">
    <w:name w:val="Заголовок"/>
    <w:basedOn w:val="666"/>
    <w:next w:val="733"/>
    <w:qFormat/>
    <w:pPr>
      <w:keepNext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733">
    <w:name w:val="Body Text"/>
    <w:basedOn w:val="666"/>
    <w:pPr>
      <w:spacing w:after="140" w:line="276" w:lineRule="auto"/>
    </w:pPr>
  </w:style>
  <w:style w:type="paragraph" w:styleId="734">
    <w:name w:val="List"/>
    <w:basedOn w:val="733"/>
    <w:rPr>
      <w:rFonts w:cs="Lohit Devanagari"/>
    </w:rPr>
  </w:style>
  <w:style w:type="paragraph" w:styleId="735">
    <w:name w:val="Caption"/>
    <w:basedOn w:val="666"/>
    <w:link w:val="694"/>
    <w:uiPriority w:val="35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736">
    <w:name w:val="index heading"/>
    <w:basedOn w:val="732"/>
  </w:style>
  <w:style w:type="paragraph" w:styleId="737">
    <w:name w:val="List Paragraph"/>
    <w:basedOn w:val="666"/>
    <w:uiPriority w:val="34"/>
    <w:qFormat/>
    <w:pPr>
      <w:contextualSpacing/>
      <w:ind w:left="720"/>
    </w:pPr>
  </w:style>
  <w:style w:type="paragraph" w:styleId="738">
    <w:name w:val="No Spacing"/>
    <w:uiPriority w:val="1"/>
    <w:qFormat/>
  </w:style>
  <w:style w:type="paragraph" w:styleId="739">
    <w:name w:val="Title"/>
    <w:basedOn w:val="666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40">
    <w:name w:val="Subtitle"/>
    <w:basedOn w:val="666"/>
    <w:uiPriority w:val="11"/>
    <w:qFormat/>
    <w:pPr>
      <w:spacing w:before="200" w:after="200"/>
    </w:pPr>
    <w:rPr>
      <w:sz w:val="24"/>
      <w:szCs w:val="24"/>
    </w:rPr>
  </w:style>
  <w:style w:type="paragraph" w:styleId="741">
    <w:name w:val="Quote"/>
    <w:basedOn w:val="666"/>
    <w:uiPriority w:val="29"/>
    <w:qFormat/>
    <w:pPr>
      <w:ind w:left="720" w:right="720"/>
    </w:pPr>
    <w:rPr>
      <w:i/>
    </w:rPr>
  </w:style>
  <w:style w:type="paragraph" w:styleId="742">
    <w:name w:val="Intense Quote"/>
    <w:basedOn w:val="66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43" w:customStyle="1">
    <w:name w:val="Колонтитул"/>
    <w:basedOn w:val="666"/>
    <w:qFormat/>
    <w:pPr>
      <w:tabs>
        <w:tab w:val="center" w:pos="4819" w:leader="none"/>
        <w:tab w:val="right" w:pos="9638" w:leader="none"/>
      </w:tabs>
      <w:suppressLineNumbers/>
    </w:pPr>
  </w:style>
  <w:style w:type="paragraph" w:styleId="744">
    <w:name w:val="Footer"/>
    <w:basedOn w:val="666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745">
    <w:name w:val="footnote text"/>
    <w:basedOn w:val="666"/>
    <w:uiPriority w:val="99"/>
    <w:semiHidden/>
    <w:unhideWhenUsed/>
    <w:pPr>
      <w:spacing w:after="40"/>
    </w:pPr>
    <w:rPr>
      <w:sz w:val="18"/>
    </w:rPr>
  </w:style>
  <w:style w:type="paragraph" w:styleId="746">
    <w:name w:val="endnote text"/>
    <w:basedOn w:val="666"/>
    <w:uiPriority w:val="99"/>
    <w:semiHidden/>
    <w:unhideWhenUsed/>
  </w:style>
  <w:style w:type="paragraph" w:styleId="747">
    <w:name w:val="toc 1"/>
    <w:basedOn w:val="666"/>
    <w:uiPriority w:val="39"/>
    <w:unhideWhenUsed/>
    <w:pPr>
      <w:spacing w:after="57"/>
    </w:pPr>
  </w:style>
  <w:style w:type="paragraph" w:styleId="748">
    <w:name w:val="toc 2"/>
    <w:basedOn w:val="666"/>
    <w:uiPriority w:val="39"/>
    <w:unhideWhenUsed/>
    <w:pPr>
      <w:ind w:left="283"/>
      <w:spacing w:after="57"/>
    </w:pPr>
  </w:style>
  <w:style w:type="paragraph" w:styleId="749">
    <w:name w:val="toc 3"/>
    <w:basedOn w:val="666"/>
    <w:uiPriority w:val="39"/>
    <w:unhideWhenUsed/>
    <w:pPr>
      <w:ind w:left="567"/>
      <w:spacing w:after="57"/>
    </w:pPr>
  </w:style>
  <w:style w:type="paragraph" w:styleId="750">
    <w:name w:val="toc 4"/>
    <w:basedOn w:val="666"/>
    <w:uiPriority w:val="39"/>
    <w:unhideWhenUsed/>
    <w:pPr>
      <w:ind w:left="850"/>
      <w:spacing w:after="57"/>
    </w:pPr>
  </w:style>
  <w:style w:type="paragraph" w:styleId="751">
    <w:name w:val="toc 5"/>
    <w:basedOn w:val="666"/>
    <w:uiPriority w:val="39"/>
    <w:unhideWhenUsed/>
    <w:pPr>
      <w:ind w:left="1134"/>
      <w:spacing w:after="57"/>
    </w:pPr>
  </w:style>
  <w:style w:type="paragraph" w:styleId="752">
    <w:name w:val="toc 6"/>
    <w:basedOn w:val="666"/>
    <w:uiPriority w:val="39"/>
    <w:unhideWhenUsed/>
    <w:pPr>
      <w:ind w:left="1417"/>
      <w:spacing w:after="57"/>
    </w:pPr>
  </w:style>
  <w:style w:type="paragraph" w:styleId="753">
    <w:name w:val="toc 7"/>
    <w:basedOn w:val="666"/>
    <w:uiPriority w:val="39"/>
    <w:unhideWhenUsed/>
    <w:pPr>
      <w:ind w:left="1701"/>
      <w:spacing w:after="57"/>
    </w:pPr>
  </w:style>
  <w:style w:type="paragraph" w:styleId="754">
    <w:name w:val="toc 8"/>
    <w:basedOn w:val="666"/>
    <w:uiPriority w:val="39"/>
    <w:unhideWhenUsed/>
    <w:pPr>
      <w:ind w:left="1984"/>
      <w:spacing w:after="57"/>
    </w:pPr>
  </w:style>
  <w:style w:type="paragraph" w:styleId="755">
    <w:name w:val="toc 9"/>
    <w:basedOn w:val="666"/>
    <w:uiPriority w:val="39"/>
    <w:unhideWhenUsed/>
    <w:pPr>
      <w:ind w:left="2268"/>
      <w:spacing w:after="57"/>
    </w:pPr>
  </w:style>
  <w:style w:type="paragraph" w:styleId="756">
    <w:name w:val="TOC Heading"/>
    <w:uiPriority w:val="39"/>
    <w:unhideWhenUsed/>
  </w:style>
  <w:style w:type="paragraph" w:styleId="757">
    <w:name w:val="table of figures"/>
    <w:basedOn w:val="666"/>
    <w:uiPriority w:val="99"/>
    <w:unhideWhenUsed/>
  </w:style>
  <w:style w:type="paragraph" w:styleId="758" w:customStyle="1">
    <w:name w:val="Caption1"/>
    <w:basedOn w:val="666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759">
    <w:name w:val="Header"/>
    <w:basedOn w:val="666"/>
    <w:uiPriority w:val="99"/>
    <w:pPr>
      <w:tabs>
        <w:tab w:val="center" w:pos="4153" w:leader="none"/>
        <w:tab w:val="right" w:pos="8306" w:leader="none"/>
      </w:tabs>
    </w:pPr>
  </w:style>
  <w:style w:type="paragraph" w:styleId="760">
    <w:name w:val="Balloon Text"/>
    <w:basedOn w:val="666"/>
    <w:qFormat/>
    <w:rPr>
      <w:rFonts w:ascii="Tahoma" w:hAnsi="Tahoma" w:cs="Tahoma"/>
      <w:sz w:val="16"/>
      <w:szCs w:val="16"/>
    </w:rPr>
  </w:style>
  <w:style w:type="paragraph" w:styleId="761" w:customStyle="1">
    <w:name w:val="prilozhenie"/>
    <w:basedOn w:val="666"/>
    <w:qFormat/>
    <w:pPr>
      <w:ind w:firstLine="709"/>
      <w:jc w:val="both"/>
    </w:pPr>
    <w:rPr>
      <w:sz w:val="24"/>
      <w:szCs w:val="24"/>
    </w:rPr>
  </w:style>
  <w:style w:type="paragraph" w:styleId="762">
    <w:name w:val="Body Text Indent 2"/>
    <w:basedOn w:val="666"/>
    <w:qFormat/>
    <w:pPr>
      <w:ind w:left="283" w:firstLine="709"/>
      <w:jc w:val="both"/>
      <w:spacing w:after="120" w:line="480" w:lineRule="auto"/>
    </w:pPr>
    <w:rPr>
      <w:sz w:val="28"/>
      <w:szCs w:val="24"/>
    </w:rPr>
  </w:style>
  <w:style w:type="paragraph" w:styleId="763">
    <w:name w:val="HTML Preformatted"/>
    <w:basedOn w:val="666"/>
    <w:qFormat/>
    <w:rPr>
      <w:rFonts w:ascii="Courier New" w:hAnsi="Courier New" w:cs="Courier New"/>
    </w:rPr>
  </w:style>
  <w:style w:type="paragraph" w:styleId="764" w:customStyle="1">
    <w:name w:val="ConsPlusNormal"/>
    <w:qFormat/>
    <w:rPr>
      <w:rFonts w:eastAsia="Times New Roman" w:cs="Times New Roman"/>
      <w:sz w:val="24"/>
      <w:szCs w:val="24"/>
      <w:lang w:bidi="ar-SA"/>
    </w:rPr>
  </w:style>
  <w:style w:type="paragraph" w:styleId="765">
    <w:name w:val="Normal (Web)"/>
    <w:basedOn w:val="666"/>
    <w:uiPriority w:val="99"/>
    <w:qFormat/>
    <w:pPr>
      <w:spacing w:before="280" w:after="280"/>
    </w:pPr>
    <w:rPr>
      <w:rFonts w:eastAsia="Calibri"/>
      <w:sz w:val="24"/>
      <w:szCs w:val="24"/>
      <w:lang w:val="en-GB"/>
    </w:rPr>
  </w:style>
  <w:style w:type="paragraph" w:styleId="766" w:customStyle="1">
    <w:name w:val="Содержимое таблицы"/>
    <w:basedOn w:val="666"/>
    <w:qFormat/>
    <w:pPr>
      <w:widowControl w:val="off"/>
      <w:suppressLineNumbers/>
    </w:pPr>
  </w:style>
  <w:style w:type="paragraph" w:styleId="767" w:customStyle="1">
    <w:name w:val="Заголовок таблицы"/>
    <w:basedOn w:val="766"/>
    <w:qFormat/>
    <w:pPr>
      <w:jc w:val="center"/>
    </w:pPr>
    <w:rPr>
      <w:b/>
      <w:bCs/>
    </w:rPr>
  </w:style>
  <w:style w:type="paragraph" w:styleId="768" w:customStyle="1">
    <w:name w:val="Содержимое врезки"/>
    <w:basedOn w:val="666"/>
    <w:qFormat/>
  </w:style>
  <w:style w:type="table" w:styleId="769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0" w:customStyle="1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1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2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73">
    <w:name w:val="Plain Table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74">
    <w:name w:val="Plain Table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75">
    <w:name w:val="Plain Table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6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7" w:customStyle="1">
    <w:name w:val="Grid Table 1 Light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8" w:customStyle="1">
    <w:name w:val="Grid Table 1 Light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9" w:customStyle="1">
    <w:name w:val="Grid Table 1 Light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0" w:customStyle="1">
    <w:name w:val="Grid Table 1 Light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1" w:customStyle="1">
    <w:name w:val="Grid Table 1 Light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2" w:customStyle="1">
    <w:name w:val="Grid Table 1 Light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83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98" w:customStyle="1">
    <w:name w:val="Grid Table 4 - Accent 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ce6f2" w:themeFill="accent1" w:themeFillTint="32"/>
      </w:tcPr>
    </w:tblStylePr>
    <w:tblStylePr w:type="band1Vert">
      <w:rPr>
        <w:sz w:val="22"/>
      </w:rPr>
      <w:tcPr>
        <w:shd w:val="clear" w:color="ffffff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</w:tcBorders>
      </w:tcPr>
    </w:tblStylePr>
  </w:style>
  <w:style w:type="table" w:styleId="799" w:customStyle="1">
    <w:name w:val="Grid Table 4 - Accent 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2dcdc" w:themeFill="accent2" w:themeFillTint="32"/>
      </w:tcPr>
    </w:tblStylePr>
    <w:tblStylePr w:type="band1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</w:tcBorders>
      </w:tcPr>
    </w:tblStylePr>
  </w:style>
  <w:style w:type="table" w:styleId="800" w:customStyle="1">
    <w:name w:val="Grid Table 4 - Accent 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af1dc" w:themeFill="accent3" w:themeFillTint="34"/>
      </w:tcPr>
    </w:tblStylePr>
    <w:tblStylePr w:type="band1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</w:style>
  <w:style w:type="table" w:styleId="801" w:customStyle="1">
    <w:name w:val="Grid Table 4 - Accent 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</w:tcBorders>
      </w:tcPr>
    </w:tblStylePr>
  </w:style>
  <w:style w:type="table" w:styleId="802" w:customStyle="1">
    <w:name w:val="Grid Table 4 - Accent 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803" w:customStyle="1">
    <w:name w:val="Grid Table 4 - Accent 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804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aec4e0" w:themeFill="accent1" w:themeFillTint="75"/>
      </w:tcPr>
    </w:tblStylePr>
    <w:tblStylePr w:type="band1Vert">
      <w:tcPr>
        <w:shd w:val="clear" w:color="ffffff" w:fill="aec4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2aead" w:themeFill="accent2" w:themeFillTint="75"/>
      </w:tcPr>
    </w:tblStylePr>
    <w:tblStylePr w:type="band1Vert">
      <w:tcPr>
        <w:shd w:val="clear" w:color="ffffff" w:fill="e2aead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0dfb2" w:themeFill="accent3" w:themeFillTint="75"/>
      </w:tcPr>
    </w:tblStylePr>
    <w:tblStylePr w:type="band1Vert">
      <w:tcPr>
        <w:shd w:val="clear" w:color="ffffff" w:fill="d0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acd8e4" w:themeFill="accent5" w:themeFillTint="75"/>
      </w:tcPr>
    </w:tblStylePr>
    <w:tblStylePr w:type="band1Vert">
      <w:tcPr>
        <w:shd w:val="clear" w:color="ffffff" w:fill="acd8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bceaa" w:themeFill="accent6" w:themeFillTint="75"/>
      </w:tcPr>
    </w:tblStylePr>
    <w:tblStylePr w:type="band1Vert">
      <w:tcPr>
        <w:shd w:val="clear" w:color="ffffff" w:fill="fbceaa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FFFFFF" w:themeColor="light1" w:sz="4" w:space="0"/>
        </w:tcBorders>
      </w:tcPr>
    </w:tblStylePr>
  </w:style>
  <w:style w:type="table" w:styleId="811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2" w:customStyle="1">
    <w:name w:val="Grid Table 6 Colorful - Accent 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3" w:customStyle="1">
    <w:name w:val="Grid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f2dcdc" w:themeFill="accent2" w:themeFillTint="32"/>
      </w:tcPr>
    </w:tblStylePr>
    <w:tblStylePr w:type="band1Vert"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14" w:customStyle="1">
    <w:name w:val="Grid Table 6 Colorful - Accent 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ffffff" w:fill="eaf1dc" w:themeFill="accent3" w:themeFillTint="34"/>
      </w:tcPr>
    </w:tblStylePr>
    <w:tblStylePr w:type="band1Vert"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15" w:customStyle="1">
    <w:name w:val="Grid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16" w:customStyle="1">
    <w:name w:val="Grid Table 6 Colorful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7" w:customStyle="1">
    <w:name w:val="Grid Table 6 Colorful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8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7 Colorful - Accent 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7 Colorful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f2dcdc" w:themeFill="accent2" w:themeFillTint="32"/>
      </w:tcPr>
    </w:tblStylePr>
    <w:tblStylePr w:type="band1Vert"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7 Colorful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ffffff" w:fill="eaf1dc" w:themeFill="accent3" w:themeFillTint="34"/>
      </w:tcPr>
    </w:tblStylePr>
    <w:tblStylePr w:type="band1Vert"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7 Colorful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7 Colorful - Accent 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7 Colorful - Accent 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154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1 Ligh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33" w:customStyle="1">
    <w:name w:val="List Table 2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2dfee" w:themeFill="accent1" w:themeFillTint="40"/>
      </w:tcPr>
    </w:tblStylePr>
    <w:tblStylePr w:type="band1Vert">
      <w:rPr>
        <w:sz w:val="22"/>
      </w:rPr>
      <w:tcPr>
        <w:shd w:val="clear" w:color="ffffff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834" w:customStyle="1">
    <w:name w:val="List Table 2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fd2d2" w:themeFill="accent2" w:themeFillTint="40"/>
      </w:tcPr>
    </w:tblStylePr>
    <w:tblStylePr w:type="band1Vert">
      <w:rPr>
        <w:sz w:val="22"/>
      </w:rPr>
      <w:tcPr>
        <w:shd w:val="clear" w:color="ffffff" w:fill="efd2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835" w:customStyle="1">
    <w:name w:val="List Table 2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eed5" w:themeFill="accent3" w:themeFillTint="40"/>
      </w:tcPr>
    </w:tblStylePr>
    <w:tblStylePr w:type="band1Vert">
      <w:rPr>
        <w:sz w:val="22"/>
      </w:rPr>
      <w:tcPr>
        <w:shd w:val="clear" w:color="ffffff" w:fill="e5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836" w:customStyle="1">
    <w:name w:val="List Table 2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837" w:customStyle="1">
    <w:name w:val="List Table 2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838" w:customStyle="1">
    <w:name w:val="List Table 2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4d0" w:themeFill="accent6" w:themeFillTint="40"/>
      </w:tcPr>
    </w:tblStylePr>
    <w:tblStylePr w:type="band1Vert">
      <w:rPr>
        <w:sz w:val="22"/>
      </w:rPr>
      <w:tcPr>
        <w:shd w:val="clear" w:color="ffffff" w:fill="fd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839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0" w:customStyle="1">
    <w:name w:val="List Table 3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1" w:customStyle="1">
    <w:name w:val="List Table 3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2" w:customStyle="1">
    <w:name w:val="List Table 3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3" w:customStyle="1">
    <w:name w:val="List Table 3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4" w:customStyle="1">
    <w:name w:val="List Table 3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5" w:customStyle="1">
    <w:name w:val="List Table 3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6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7" w:customStyle="1">
    <w:name w:val="List Table 4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2dfee" w:themeFill="accent1" w:themeFillTint="40"/>
      </w:tcPr>
    </w:tblStylePr>
    <w:tblStylePr w:type="band1Vert">
      <w:rPr>
        <w:sz w:val="22"/>
      </w:rPr>
      <w:tcPr>
        <w:shd w:val="clear" w:color="ffffff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8" w:customStyle="1">
    <w:name w:val="List Table 4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fd2d2" w:themeFill="accent2" w:themeFillTint="40"/>
      </w:tcPr>
    </w:tblStylePr>
    <w:tblStylePr w:type="band1Vert">
      <w:rPr>
        <w:sz w:val="22"/>
      </w:rPr>
      <w:tcPr>
        <w:shd w:val="clear" w:color="ffffff" w:fill="efd2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9" w:customStyle="1">
    <w:name w:val="List Table 4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e5eed5" w:themeFill="accent3" w:themeFillTint="40"/>
      </w:tcPr>
    </w:tblStylePr>
    <w:tblStylePr w:type="band1Vert">
      <w:rPr>
        <w:sz w:val="22"/>
      </w:rPr>
      <w:tcPr>
        <w:shd w:val="clear" w:color="ffffff" w:fill="e5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0" w:customStyle="1">
    <w:name w:val="List Table 4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1" w:customStyle="1">
    <w:name w:val="List Table 4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2" w:customStyle="1">
    <w:name w:val="List Table 4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shd w:val="clear" w:color="ffffff" w:fill="fde4d0" w:themeFill="accent6" w:themeFillTint="40"/>
      </w:tcPr>
    </w:tblStylePr>
    <w:tblStylePr w:type="band1Vert">
      <w:rPr>
        <w:sz w:val="22"/>
      </w:rPr>
      <w:tcPr>
        <w:shd w:val="clear" w:color="ffffff" w:fill="fd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53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4" w:customStyle="1">
    <w:name w:val="List Table 5 Dark - Accent 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5" w:customStyle="1">
    <w:name w:val="List Table 5 Dark - Accent 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6" w:customStyle="1">
    <w:name w:val="List Table 5 Dark - Accent 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7" w:customStyle="1">
    <w:name w:val="List Table 5 Dark - Accent 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8" w:customStyle="1">
    <w:name w:val="List Table 5 Dark - Accent 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59" w:customStyle="1">
    <w:name w:val="List Table 5 Dark - Accent 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60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61" w:customStyle="1">
    <w:name w:val="List Table 6 Colorful - Accent 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2" w:customStyle="1">
    <w:name w:val="List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863" w:customStyle="1">
    <w:name w:val="List Table 6 Colorful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864" w:customStyle="1">
    <w:name w:val="List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865" w:customStyle="1">
    <w:name w:val="List Table 6 Colorful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866" w:customStyle="1">
    <w:name w:val="List Table 6 Colorful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867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7 Colorful - Accent 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7 Colorful - Accent 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7 Colorful - Accent 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7 Colorful - Accent 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7 Colorful - Accent 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7 Colorful - Accent 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ned - Accent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75" w:customStyle="1">
    <w:name w:val="Lined - Accent 1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ac2" w:themeFill="accent1" w:themeFillTint="EA"/>
      </w:tcPr>
    </w:tblStylePr>
    <w:tblStylePr w:type="firstRow">
      <w:rPr>
        <w:sz w:val="22"/>
      </w:rPr>
      <w:tcPr>
        <w:shd w:val="clear" w:color="ffffff" w:fill="5d8ac2" w:themeFill="accent1" w:themeFillTint="EA"/>
      </w:tcPr>
    </w:tblStylePr>
    <w:tblStylePr w:type="lastCol">
      <w:rPr>
        <w:sz w:val="22"/>
      </w:rPr>
      <w:tcPr>
        <w:shd w:val="clear" w:color="ffffff" w:fill="5d8ac2" w:themeFill="accent1" w:themeFillTint="EA"/>
      </w:tcPr>
    </w:tblStylePr>
    <w:tblStylePr w:type="lastRow">
      <w:rPr>
        <w:sz w:val="22"/>
      </w:rPr>
      <w:tcPr>
        <w:shd w:val="clear" w:color="ffffff" w:fill="5d8ac2" w:themeFill="accent1" w:themeFillTint="EA"/>
      </w:tcPr>
    </w:tblStylePr>
  </w:style>
  <w:style w:type="table" w:styleId="876" w:customStyle="1">
    <w:name w:val="Lined - Accent 2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c" w:themeFill="accent2" w:themeFillTint="32"/>
      </w:tcPr>
    </w:tblStylePr>
    <w:tblStylePr w:type="band2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sz w:val="22"/>
      </w:rPr>
      <w:tcPr>
        <w:shd w:val="clear" w:color="ffffff" w:fill="d99695" w:themeFill="accent2" w:themeFillTint="97"/>
      </w:tcPr>
    </w:tblStylePr>
    <w:tblStylePr w:type="firstRow">
      <w:rPr>
        <w:sz w:val="22"/>
      </w:rPr>
      <w:tcPr>
        <w:shd w:val="clear" w:color="ffffff" w:fill="d99695" w:themeFill="accent2" w:themeFillTint="97"/>
      </w:tcPr>
    </w:tblStylePr>
    <w:tblStylePr w:type="lastCol">
      <w:rPr>
        <w:sz w:val="22"/>
      </w:rPr>
      <w:tcPr>
        <w:shd w:val="clear" w:color="ffffff" w:fill="d99695" w:themeFill="accent2" w:themeFillTint="97"/>
      </w:tcPr>
    </w:tblStylePr>
    <w:tblStylePr w:type="lastRow">
      <w:rPr>
        <w:sz w:val="22"/>
      </w:rPr>
      <w:tcPr>
        <w:shd w:val="clear" w:color="ffffff" w:fill="d99695" w:themeFill="accent2" w:themeFillTint="97"/>
      </w:tcPr>
    </w:tblStylePr>
  </w:style>
  <w:style w:type="table" w:styleId="877" w:customStyle="1">
    <w:name w:val="Lined - Accent 3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1dc" w:themeFill="accent3" w:themeFillTint="34"/>
      </w:tcPr>
    </w:tblStylePr>
    <w:tblStylePr w:type="band2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sz w:val="22"/>
      </w:rPr>
      <w:tcPr>
        <w:shd w:val="clear" w:color="ffffff" w:fill="9abb59" w:themeFill="accent3" w:themeFillTint="FE"/>
      </w:tcPr>
    </w:tblStylePr>
    <w:tblStylePr w:type="firstRow">
      <w:rPr>
        <w:sz w:val="22"/>
      </w:rPr>
      <w:tcPr>
        <w:shd w:val="clear" w:color="ffffff" w:fill="9abb59" w:themeFill="accent3" w:themeFillTint="FE"/>
      </w:tcPr>
    </w:tblStylePr>
    <w:tblStylePr w:type="lastCol">
      <w:rPr>
        <w:sz w:val="22"/>
      </w:rPr>
      <w:tcPr>
        <w:shd w:val="clear" w:color="ffffff" w:fill="9abb59" w:themeFill="accent3" w:themeFillTint="FE"/>
      </w:tcPr>
    </w:tblStylePr>
    <w:tblStylePr w:type="lastRow">
      <w:rPr>
        <w:sz w:val="22"/>
      </w:rPr>
      <w:tcPr>
        <w:shd w:val="clear" w:color="ffffff" w:fill="9abb59" w:themeFill="accent3" w:themeFillTint="FE"/>
      </w:tcPr>
    </w:tblStylePr>
  </w:style>
  <w:style w:type="table" w:styleId="878" w:customStyle="1">
    <w:name w:val="Lined - Accent 4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79" w:customStyle="1">
    <w:name w:val="Lined - Accent 5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80" w:customStyle="1">
    <w:name w:val="Lined - Accent 6"/>
    <w:uiPriority w:val="99"/>
    <w:tblPr>
      <w:tblStyleRowBandSize w:val="1"/>
      <w:tblStyleColBandSize w:val="1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81" w:customStyle="1">
    <w:name w:val="Bordered &amp; Lined - Accent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 w:themeFill="text1" w:themeFillTint="00"/>
      </w:tcPr>
    </w:tblStylePr>
    <w:tblStylePr w:type="band2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82" w:customStyle="1">
    <w:name w:val="Bordered &amp; Lined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ac2" w:themeFill="accent1" w:themeFillTint="EA"/>
      </w:tcPr>
    </w:tblStylePr>
    <w:tblStylePr w:type="firstRow">
      <w:rPr>
        <w:sz w:val="22"/>
      </w:rPr>
      <w:tcPr>
        <w:shd w:val="clear" w:color="ffffff" w:fill="5d8ac2" w:themeFill="accent1" w:themeFillTint="EA"/>
      </w:tcPr>
    </w:tblStylePr>
    <w:tblStylePr w:type="lastCol">
      <w:rPr>
        <w:sz w:val="22"/>
      </w:rPr>
      <w:tcPr>
        <w:shd w:val="clear" w:color="ffffff" w:fill="5d8ac2" w:themeFill="accent1" w:themeFillTint="EA"/>
      </w:tcPr>
    </w:tblStylePr>
    <w:tblStylePr w:type="lastRow">
      <w:rPr>
        <w:sz w:val="22"/>
      </w:rPr>
      <w:tcPr>
        <w:shd w:val="clear" w:color="ffffff" w:fill="5d8ac2" w:themeFill="accent1" w:themeFillTint="EA"/>
      </w:tcPr>
    </w:tblStylePr>
  </w:style>
  <w:style w:type="table" w:styleId="883" w:customStyle="1">
    <w:name w:val="Bordered &amp; Lined - Accent 2"/>
    <w:uiPriority w:val="99"/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c" w:themeFill="accent2" w:themeFillTint="32"/>
      </w:tcPr>
    </w:tblStylePr>
    <w:tblStylePr w:type="band2Vert">
      <w:rPr>
        <w:sz w:val="22"/>
      </w:rPr>
      <w:tcPr>
        <w:shd w:val="clear" w:color="ffffff" w:fill="f2dcdc" w:themeFill="accent2" w:themeFillTint="32"/>
      </w:tcPr>
    </w:tblStylePr>
    <w:tblStylePr w:type="firstCol">
      <w:rPr>
        <w:sz w:val="22"/>
      </w:rPr>
      <w:tcPr>
        <w:shd w:val="clear" w:color="ffffff" w:fill="d99695" w:themeFill="accent2" w:themeFillTint="97"/>
      </w:tcPr>
    </w:tblStylePr>
    <w:tblStylePr w:type="firstRow">
      <w:rPr>
        <w:sz w:val="22"/>
      </w:rPr>
      <w:tcPr>
        <w:shd w:val="clear" w:color="ffffff" w:fill="d99695" w:themeFill="accent2" w:themeFillTint="97"/>
      </w:tcPr>
    </w:tblStylePr>
    <w:tblStylePr w:type="lastCol">
      <w:rPr>
        <w:sz w:val="22"/>
      </w:rPr>
      <w:tcPr>
        <w:shd w:val="clear" w:color="ffffff" w:fill="d99695" w:themeFill="accent2" w:themeFillTint="97"/>
      </w:tcPr>
    </w:tblStylePr>
    <w:tblStylePr w:type="lastRow">
      <w:rPr>
        <w:sz w:val="22"/>
      </w:rPr>
      <w:tcPr>
        <w:shd w:val="clear" w:color="ffffff" w:fill="d99695" w:themeFill="accent2" w:themeFillTint="97"/>
      </w:tcPr>
    </w:tblStylePr>
  </w:style>
  <w:style w:type="table" w:styleId="884" w:customStyle="1">
    <w:name w:val="Bordered &amp; Lined - Accent 3"/>
    <w:uiPriority w:val="99"/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1dc" w:themeFill="accent3" w:themeFillTint="34"/>
      </w:tcPr>
    </w:tblStylePr>
    <w:tblStylePr w:type="band2Vert">
      <w:rPr>
        <w:sz w:val="22"/>
      </w:rPr>
      <w:tcPr>
        <w:shd w:val="clear" w:color="ffffff" w:fill="eaf1dc" w:themeFill="accent3" w:themeFillTint="34"/>
      </w:tcPr>
    </w:tblStylePr>
    <w:tblStylePr w:type="firstCol">
      <w:rPr>
        <w:sz w:val="22"/>
      </w:rPr>
      <w:tcPr>
        <w:shd w:val="clear" w:color="ffffff" w:fill="9abb59" w:themeFill="accent3" w:themeFillTint="FE"/>
      </w:tcPr>
    </w:tblStylePr>
    <w:tblStylePr w:type="firstRow">
      <w:rPr>
        <w:sz w:val="22"/>
      </w:rPr>
      <w:tcPr>
        <w:shd w:val="clear" w:color="ffffff" w:fill="9abb59" w:themeFill="accent3" w:themeFillTint="FE"/>
      </w:tcPr>
    </w:tblStylePr>
    <w:tblStylePr w:type="lastCol">
      <w:rPr>
        <w:sz w:val="22"/>
      </w:rPr>
      <w:tcPr>
        <w:shd w:val="clear" w:color="ffffff" w:fill="9abb59" w:themeFill="accent3" w:themeFillTint="FE"/>
      </w:tcPr>
    </w:tblStylePr>
    <w:tblStylePr w:type="lastRow">
      <w:rPr>
        <w:sz w:val="22"/>
      </w:rPr>
      <w:tcPr>
        <w:shd w:val="clear" w:color="ffffff" w:fill="9abb59" w:themeFill="accent3" w:themeFillTint="FE"/>
      </w:tcPr>
    </w:tblStylePr>
  </w:style>
  <w:style w:type="table" w:styleId="885" w:customStyle="1">
    <w:name w:val="Bordered &amp; Lined - Accent 4"/>
    <w:uiPriority w:val="99"/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86" w:customStyle="1">
    <w:name w:val="Bordered &amp; Lined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87" w:customStyle="1">
    <w:name w:val="Bordered &amp; Lined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88" w:customStyle="1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89" w:customStyle="1">
    <w:name w:val="Bordered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90" w:customStyle="1">
    <w:name w:val="Bordered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891" w:customStyle="1">
    <w:name w:val="Bordered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892" w:customStyle="1">
    <w:name w:val="Bordered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893" w:customStyle="1">
    <w:name w:val="Bordered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894" w:customStyle="1">
    <w:name w:val="Bordered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sz w:val="22"/>
      </w:rPr>
      <w:tcPr>
        <w:tcBorders>
          <w:top w:val="single" w:color="F79646" w:themeColor="accent6" w:sz="12" w:space="0"/>
        </w:tcBorders>
      </w:tcPr>
    </w:tblStylePr>
  </w:style>
  <w:style w:type="paragraph" w:styleId="895" w:customStyle="1">
    <w:name w:val="Абзац 4"/>
    <w:basedOn w:val="768"/>
    <w:hidden/>
    <w:pPr>
      <w:jc w:val="both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Theme="minorEastAsia" w:cstheme="minorBidi"/>
      <w:sz w:val="24"/>
      <w:szCs w:val="22"/>
      <w:lang w:eastAsia="ru-RU"/>
    </w:rPr>
  </w:style>
  <w:style w:type="paragraph" w:styleId="896" w:customStyle="1">
    <w:name w:val="Абзац 3"/>
    <w:basedOn w:val="666"/>
    <w:hidden/>
    <w:pPr>
      <w:jc w:val="both"/>
    </w:pPr>
    <w:rPr>
      <w:rFonts w:eastAsiaTheme="minorEastAsia" w:cstheme="minorBidi"/>
      <w:sz w:val="24"/>
      <w:szCs w:val="22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s://www.ogk2.ru/" TargetMode="External"/><Relationship Id="rId11" Type="http://schemas.openxmlformats.org/officeDocument/2006/relationships/hyperlink" Target="https://www.e-disclosure.ru/portal/company.aspx?id=7234" TargetMode="External"/><Relationship Id="rId12" Type="http://schemas.openxmlformats.org/officeDocument/2006/relationships/hyperlink" Target="http://www.draga.ru" TargetMode="External"/><Relationship Id="rId13" Type="http://schemas.openxmlformats.org/officeDocument/2006/relationships/hyperlink" Target="https://draga.ru/akcioneram/uslugi/uchastie-v-sobranii-akcionerov/golosovanie/pao-ogk-2/" TargetMode="External"/><Relationship Id="rId14" Type="http://schemas.openxmlformats.org/officeDocument/2006/relationships/hyperlink" Target="https://draga.ru/akcioneram/jelektronnye-servisy/lichnyj-kabinet-akcionera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F398F-8071-4B7A-BECF-496154C00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существенном факте</dc:title>
  <dc:subject/>
  <dc:creator>shamne.anna</dc:creator>
  <dc:description/>
  <dc:language>ru-RU</dc:language>
  <cp:lastModifiedBy>golubeva.valentina</cp:lastModifiedBy>
  <cp:revision>6</cp:revision>
  <dcterms:created xsi:type="dcterms:W3CDTF">2025-05-19T13:09:00Z</dcterms:created>
  <dcterms:modified xsi:type="dcterms:W3CDTF">2026-10-15T10:03:09Z</dcterms:modified>
</cp:coreProperties>
</file>