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628" w:rsidRPr="00510B8B" w:rsidRDefault="00706628" w:rsidP="00706628">
      <w:pPr>
        <w:ind w:left="-284"/>
        <w:jc w:val="center"/>
        <w:rPr>
          <w:b/>
          <w:color w:val="000000"/>
        </w:rPr>
      </w:pPr>
      <w:r w:rsidRPr="00510B8B">
        <w:rPr>
          <w:b/>
          <w:bCs/>
        </w:rPr>
        <w:t xml:space="preserve">Сообщение о существенном </w:t>
      </w:r>
      <w:proofErr w:type="gramStart"/>
      <w:r w:rsidRPr="00510B8B">
        <w:rPr>
          <w:b/>
          <w:bCs/>
        </w:rPr>
        <w:t>факте</w:t>
      </w:r>
      <w:r w:rsidRPr="00510B8B">
        <w:rPr>
          <w:b/>
          <w:bCs/>
        </w:rPr>
        <w:br/>
        <w:t>«</w:t>
      </w:r>
      <w:proofErr w:type="gramEnd"/>
      <w:r w:rsidR="004E1FCE">
        <w:rPr>
          <w:b/>
          <w:color w:val="000000"/>
        </w:rPr>
        <w:t>О</w:t>
      </w:r>
      <w:r w:rsidRPr="00510B8B">
        <w:rPr>
          <w:b/>
          <w:color w:val="000000"/>
        </w:rPr>
        <w:t>б отдельных решениях, принятых советом директоров эмитента»</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6"/>
        <w:gridCol w:w="5102"/>
      </w:tblGrid>
      <w:tr w:rsidR="00706628" w:rsidRPr="000622CF" w:rsidTr="008C7632">
        <w:tc>
          <w:tcPr>
            <w:tcW w:w="10348" w:type="dxa"/>
            <w:gridSpan w:val="2"/>
          </w:tcPr>
          <w:p w:rsidR="00706628" w:rsidRPr="000622CF" w:rsidRDefault="00706628" w:rsidP="00F50CA7">
            <w:pPr>
              <w:ind w:left="-61"/>
              <w:jc w:val="center"/>
            </w:pPr>
            <w:r w:rsidRPr="000622CF">
              <w:t>1. Общие сведения</w:t>
            </w:r>
          </w:p>
        </w:tc>
      </w:tr>
      <w:tr w:rsidR="00C918CC" w:rsidRPr="000622CF" w:rsidTr="008C7632">
        <w:tc>
          <w:tcPr>
            <w:tcW w:w="5246" w:type="dxa"/>
            <w:shd w:val="clear" w:color="auto" w:fill="auto"/>
          </w:tcPr>
          <w:p w:rsidR="00C918CC" w:rsidRPr="000622CF" w:rsidRDefault="00C918CC" w:rsidP="00C918CC">
            <w:pPr>
              <w:adjustRightInd w:val="0"/>
              <w:jc w:val="both"/>
              <w:rPr>
                <w:b/>
                <w:bCs/>
              </w:rPr>
            </w:pPr>
            <w:r w:rsidRPr="000622CF">
              <w:t>1.1. Полное фирменное наименование (для коммерческой организации) или наименование (для некоммерческой организации) эмитента</w:t>
            </w:r>
          </w:p>
          <w:p w:rsidR="00C918CC" w:rsidRPr="000622CF" w:rsidRDefault="00C918CC" w:rsidP="00C918CC"/>
        </w:tc>
        <w:tc>
          <w:tcPr>
            <w:tcW w:w="5102" w:type="dxa"/>
            <w:shd w:val="clear" w:color="auto" w:fill="auto"/>
          </w:tcPr>
          <w:p w:rsidR="00C918CC" w:rsidRPr="000622CF" w:rsidRDefault="00C918CC" w:rsidP="00C918CC">
            <w:pPr>
              <w:ind w:left="40" w:right="85"/>
              <w:rPr>
                <w:rStyle w:val="Style12ptBoldItalic"/>
                <w:b w:val="0"/>
                <w:i w:val="0"/>
                <w:sz w:val="20"/>
              </w:rPr>
            </w:pPr>
            <w:r w:rsidRPr="000622CF">
              <w:rPr>
                <w:b/>
                <w:color w:val="000000"/>
                <w:shd w:val="clear" w:color="auto" w:fill="FFFFFF"/>
              </w:rPr>
              <w:t>Публичное акционерное общество «Вторая генерирующая компания оптового рынка электроэнергии»</w:t>
            </w:r>
          </w:p>
        </w:tc>
      </w:tr>
      <w:tr w:rsidR="00C918CC" w:rsidRPr="000622CF" w:rsidTr="008C7632">
        <w:tc>
          <w:tcPr>
            <w:tcW w:w="5246" w:type="dxa"/>
            <w:shd w:val="clear" w:color="auto" w:fill="auto"/>
          </w:tcPr>
          <w:p w:rsidR="00C918CC" w:rsidRPr="000622CF" w:rsidRDefault="00C918CC" w:rsidP="00C918CC">
            <w:pPr>
              <w:adjustRightInd w:val="0"/>
              <w:jc w:val="both"/>
              <w:rPr>
                <w:b/>
                <w:bCs/>
              </w:rPr>
            </w:pPr>
            <w:r w:rsidRPr="000622CF">
              <w:t>1.2. Адрес эмитента, указанный в едином государственном реестре юридических лиц</w:t>
            </w:r>
          </w:p>
        </w:tc>
        <w:tc>
          <w:tcPr>
            <w:tcW w:w="5102" w:type="dxa"/>
            <w:shd w:val="clear" w:color="auto" w:fill="auto"/>
          </w:tcPr>
          <w:p w:rsidR="00C918CC" w:rsidRPr="000622CF" w:rsidRDefault="004A1B04" w:rsidP="00C918CC">
            <w:pPr>
              <w:ind w:left="40" w:right="85"/>
              <w:rPr>
                <w:rStyle w:val="Style12ptBoldItalic"/>
                <w:i w:val="0"/>
                <w:sz w:val="20"/>
              </w:rPr>
            </w:pPr>
            <w:r w:rsidRPr="004A1B04">
              <w:rPr>
                <w:b/>
                <w:color w:val="000000"/>
                <w:shd w:val="clear" w:color="auto" w:fill="FFFFFF"/>
              </w:rPr>
              <w:t xml:space="preserve">196605, г. Санкт-Петербург, </w:t>
            </w:r>
            <w:proofErr w:type="spellStart"/>
            <w:r w:rsidRPr="004A1B04">
              <w:rPr>
                <w:b/>
                <w:color w:val="000000"/>
                <w:shd w:val="clear" w:color="auto" w:fill="FFFFFF"/>
              </w:rPr>
              <w:t>вн.тер.г</w:t>
            </w:r>
            <w:proofErr w:type="spellEnd"/>
            <w:r w:rsidRPr="004A1B04">
              <w:rPr>
                <w:b/>
                <w:color w:val="000000"/>
                <w:shd w:val="clear" w:color="auto" w:fill="FFFFFF"/>
              </w:rPr>
              <w:t xml:space="preserve">. поселок </w:t>
            </w:r>
            <w:proofErr w:type="spellStart"/>
            <w:r w:rsidRPr="004A1B04">
              <w:rPr>
                <w:b/>
                <w:color w:val="000000"/>
                <w:shd w:val="clear" w:color="auto" w:fill="FFFFFF"/>
              </w:rPr>
              <w:t>Шушары</w:t>
            </w:r>
            <w:proofErr w:type="spellEnd"/>
            <w:r w:rsidRPr="004A1B04">
              <w:rPr>
                <w:b/>
                <w:color w:val="000000"/>
                <w:shd w:val="clear" w:color="auto" w:fill="FFFFFF"/>
              </w:rPr>
              <w:t>, ш Петербургское, д. 66, к. 1, литера А</w:t>
            </w:r>
            <w:r>
              <w:rPr>
                <w:b/>
                <w:color w:val="000000"/>
                <w:shd w:val="clear" w:color="auto" w:fill="FFFFFF"/>
              </w:rPr>
              <w:t xml:space="preserve">, этаж 7, </w:t>
            </w:r>
            <w:proofErr w:type="spellStart"/>
            <w:r>
              <w:rPr>
                <w:b/>
                <w:color w:val="000000"/>
                <w:shd w:val="clear" w:color="auto" w:fill="FFFFFF"/>
              </w:rPr>
              <w:t>помещ</w:t>
            </w:r>
            <w:proofErr w:type="spellEnd"/>
            <w:r>
              <w:rPr>
                <w:b/>
                <w:color w:val="000000"/>
                <w:shd w:val="clear" w:color="auto" w:fill="FFFFFF"/>
              </w:rPr>
              <w:t xml:space="preserve">. 36-Н, </w:t>
            </w:r>
            <w:proofErr w:type="spellStart"/>
            <w:r>
              <w:rPr>
                <w:b/>
                <w:color w:val="000000"/>
                <w:shd w:val="clear" w:color="auto" w:fill="FFFFFF"/>
              </w:rPr>
              <w:t>каб</w:t>
            </w:r>
            <w:proofErr w:type="spellEnd"/>
            <w:r>
              <w:rPr>
                <w:b/>
                <w:color w:val="000000"/>
                <w:shd w:val="clear" w:color="auto" w:fill="FFFFFF"/>
              </w:rPr>
              <w:t>. 701</w:t>
            </w:r>
          </w:p>
        </w:tc>
      </w:tr>
      <w:tr w:rsidR="00C918CC" w:rsidRPr="000622CF" w:rsidTr="008C7632">
        <w:tc>
          <w:tcPr>
            <w:tcW w:w="5246" w:type="dxa"/>
            <w:shd w:val="clear" w:color="auto" w:fill="auto"/>
          </w:tcPr>
          <w:p w:rsidR="00C918CC" w:rsidRPr="000622CF" w:rsidRDefault="00C918CC" w:rsidP="00C918CC">
            <w:pPr>
              <w:adjustRightInd w:val="0"/>
              <w:jc w:val="both"/>
            </w:pPr>
            <w:r w:rsidRPr="000622CF">
              <w:t>1.3. Основной государственный регистрационный номер (ОГРН) эмитента (при наличии)</w:t>
            </w:r>
            <w:r w:rsidRPr="000622CF" w:rsidDel="00437D0F">
              <w:t xml:space="preserve"> </w:t>
            </w:r>
          </w:p>
        </w:tc>
        <w:tc>
          <w:tcPr>
            <w:tcW w:w="5102" w:type="dxa"/>
            <w:shd w:val="clear" w:color="auto" w:fill="auto"/>
          </w:tcPr>
          <w:p w:rsidR="00C918CC" w:rsidRPr="000622CF" w:rsidRDefault="00C918CC" w:rsidP="00C918CC">
            <w:pPr>
              <w:ind w:left="40" w:right="85"/>
              <w:rPr>
                <w:b/>
                <w:bCs/>
                <w:iCs/>
              </w:rPr>
            </w:pPr>
            <w:r w:rsidRPr="000622CF">
              <w:rPr>
                <w:b/>
                <w:color w:val="000000"/>
                <w:shd w:val="clear" w:color="auto" w:fill="FFFFFF"/>
              </w:rPr>
              <w:t>1052600002180</w:t>
            </w:r>
          </w:p>
        </w:tc>
      </w:tr>
      <w:tr w:rsidR="00C918CC" w:rsidRPr="000622CF" w:rsidTr="008C7632">
        <w:trPr>
          <w:trHeight w:val="70"/>
        </w:trPr>
        <w:tc>
          <w:tcPr>
            <w:tcW w:w="5246" w:type="dxa"/>
            <w:shd w:val="clear" w:color="auto" w:fill="auto"/>
          </w:tcPr>
          <w:p w:rsidR="00C918CC" w:rsidRPr="000622CF" w:rsidRDefault="00C918CC" w:rsidP="00C918CC">
            <w:pPr>
              <w:adjustRightInd w:val="0"/>
              <w:jc w:val="both"/>
            </w:pPr>
            <w:r w:rsidRPr="000622CF">
              <w:t>1.4. Идентификационный номер налогоплательщика (ИНН) эмитента (при наличии)</w:t>
            </w:r>
          </w:p>
        </w:tc>
        <w:tc>
          <w:tcPr>
            <w:tcW w:w="5102" w:type="dxa"/>
            <w:shd w:val="clear" w:color="auto" w:fill="auto"/>
          </w:tcPr>
          <w:p w:rsidR="00C918CC" w:rsidRPr="000622CF" w:rsidRDefault="00C918CC" w:rsidP="00C918CC">
            <w:pPr>
              <w:ind w:left="40" w:right="85"/>
              <w:rPr>
                <w:b/>
                <w:bCs/>
                <w:iCs/>
              </w:rPr>
            </w:pPr>
            <w:r w:rsidRPr="000622CF">
              <w:rPr>
                <w:b/>
                <w:color w:val="000000"/>
                <w:shd w:val="clear" w:color="auto" w:fill="FFFFFF"/>
              </w:rPr>
              <w:t>2607018122</w:t>
            </w:r>
          </w:p>
        </w:tc>
      </w:tr>
      <w:tr w:rsidR="00C918CC" w:rsidRPr="000622CF" w:rsidTr="008C7632">
        <w:tc>
          <w:tcPr>
            <w:tcW w:w="5246" w:type="dxa"/>
            <w:shd w:val="clear" w:color="auto" w:fill="auto"/>
          </w:tcPr>
          <w:p w:rsidR="00C918CC" w:rsidRPr="000622CF" w:rsidRDefault="00C918CC" w:rsidP="00C918CC">
            <w:pPr>
              <w:adjustRightInd w:val="0"/>
              <w:jc w:val="both"/>
            </w:pPr>
            <w:r w:rsidRPr="000622CF">
              <w:t>1.5. Уникальный код эмитента, присвоенный Банком России</w:t>
            </w:r>
          </w:p>
        </w:tc>
        <w:tc>
          <w:tcPr>
            <w:tcW w:w="5102" w:type="dxa"/>
            <w:shd w:val="clear" w:color="auto" w:fill="auto"/>
          </w:tcPr>
          <w:p w:rsidR="00C918CC" w:rsidRPr="000622CF" w:rsidRDefault="00C918CC" w:rsidP="00C918CC">
            <w:pPr>
              <w:ind w:left="40" w:right="85"/>
              <w:rPr>
                <w:b/>
                <w:color w:val="000000"/>
                <w:shd w:val="clear" w:color="auto" w:fill="FFFFFF"/>
                <w:lang w:val="en-US"/>
              </w:rPr>
            </w:pPr>
            <w:r w:rsidRPr="000622CF">
              <w:rPr>
                <w:b/>
                <w:color w:val="000000"/>
                <w:shd w:val="clear" w:color="auto" w:fill="FFFFFF"/>
              </w:rPr>
              <w:t>65105-D</w:t>
            </w:r>
          </w:p>
        </w:tc>
      </w:tr>
      <w:tr w:rsidR="00C918CC" w:rsidRPr="000622CF" w:rsidTr="008C7632">
        <w:tc>
          <w:tcPr>
            <w:tcW w:w="5246" w:type="dxa"/>
            <w:shd w:val="clear" w:color="auto" w:fill="auto"/>
          </w:tcPr>
          <w:p w:rsidR="00C918CC" w:rsidRPr="000622CF" w:rsidRDefault="00C918CC" w:rsidP="00C918CC">
            <w:r w:rsidRPr="000622CF">
              <w:t>1.6. Адрес страницы в сети Интернет, используемой эмитентом для раскрытия информации</w:t>
            </w:r>
          </w:p>
        </w:tc>
        <w:tc>
          <w:tcPr>
            <w:tcW w:w="5102" w:type="dxa"/>
            <w:shd w:val="clear" w:color="auto" w:fill="auto"/>
          </w:tcPr>
          <w:p w:rsidR="00C918CC" w:rsidRPr="000622CF" w:rsidRDefault="009F0350" w:rsidP="00C918CC">
            <w:pPr>
              <w:ind w:right="57"/>
              <w:rPr>
                <w:b/>
                <w:bCs/>
                <w:iCs/>
              </w:rPr>
            </w:pPr>
            <w:hyperlink r:id="rId8" w:history="1">
              <w:r w:rsidR="00C918CC" w:rsidRPr="000622CF">
                <w:rPr>
                  <w:rStyle w:val="a6"/>
                  <w:b/>
                  <w:bCs/>
                  <w:iCs/>
                </w:rPr>
                <w:t>http</w:t>
              </w:r>
              <w:r w:rsidR="00C918CC" w:rsidRPr="000622CF">
                <w:rPr>
                  <w:rStyle w:val="a6"/>
                  <w:b/>
                  <w:bCs/>
                  <w:iCs/>
                  <w:lang w:val="en-US"/>
                </w:rPr>
                <w:t>s</w:t>
              </w:r>
              <w:r w:rsidR="00C918CC" w:rsidRPr="000622CF">
                <w:rPr>
                  <w:rStyle w:val="a6"/>
                  <w:b/>
                  <w:bCs/>
                  <w:iCs/>
                </w:rPr>
                <w:t>://www.ogk2.ru</w:t>
              </w:r>
            </w:hyperlink>
          </w:p>
          <w:p w:rsidR="00C918CC" w:rsidRPr="000622CF" w:rsidRDefault="009F0350" w:rsidP="00C918CC">
            <w:pPr>
              <w:ind w:right="85"/>
              <w:rPr>
                <w:b/>
                <w:bCs/>
                <w:iCs/>
              </w:rPr>
            </w:pPr>
            <w:hyperlink r:id="rId9" w:history="1">
              <w:r w:rsidR="00C918CC" w:rsidRPr="000622CF">
                <w:rPr>
                  <w:rStyle w:val="a6"/>
                  <w:b/>
                  <w:bCs/>
                  <w:iCs/>
                </w:rPr>
                <w:t>http</w:t>
              </w:r>
              <w:r w:rsidR="00C918CC" w:rsidRPr="000622CF">
                <w:rPr>
                  <w:rStyle w:val="a6"/>
                  <w:b/>
                  <w:bCs/>
                  <w:iCs/>
                  <w:lang w:val="en-US"/>
                </w:rPr>
                <w:t>s</w:t>
              </w:r>
              <w:r w:rsidR="00C918CC" w:rsidRPr="000622CF">
                <w:rPr>
                  <w:rStyle w:val="a6"/>
                  <w:b/>
                  <w:bCs/>
                  <w:iCs/>
                </w:rPr>
                <w:t>://www.e-disclosure.ru/portal/company.aspx?id=7234</w:t>
              </w:r>
            </w:hyperlink>
          </w:p>
        </w:tc>
      </w:tr>
      <w:tr w:rsidR="00C918CC" w:rsidRPr="000622CF" w:rsidTr="008C7632">
        <w:tc>
          <w:tcPr>
            <w:tcW w:w="5246" w:type="dxa"/>
            <w:shd w:val="clear" w:color="auto" w:fill="auto"/>
          </w:tcPr>
          <w:p w:rsidR="00C918CC" w:rsidRPr="000622CF" w:rsidRDefault="00C918CC" w:rsidP="00C918CC">
            <w:pPr>
              <w:adjustRightInd w:val="0"/>
              <w:jc w:val="both"/>
            </w:pPr>
            <w:r w:rsidRPr="000622CF">
              <w:t>1.7. Дата наступления события (существенного факта), о котором составлено сообщение</w:t>
            </w:r>
          </w:p>
        </w:tc>
        <w:tc>
          <w:tcPr>
            <w:tcW w:w="5102" w:type="dxa"/>
            <w:shd w:val="clear" w:color="auto" w:fill="auto"/>
          </w:tcPr>
          <w:p w:rsidR="00C918CC" w:rsidRPr="000622CF" w:rsidRDefault="008C7632" w:rsidP="00C918CC">
            <w:pPr>
              <w:ind w:left="40" w:right="85"/>
              <w:rPr>
                <w:rStyle w:val="a6"/>
                <w:b/>
              </w:rPr>
            </w:pPr>
            <w:r>
              <w:rPr>
                <w:b/>
                <w:color w:val="000000"/>
                <w:shd w:val="clear" w:color="auto" w:fill="FFFFFF"/>
              </w:rPr>
              <w:t>04.09</w:t>
            </w:r>
            <w:r w:rsidR="004D40D1">
              <w:rPr>
                <w:b/>
                <w:color w:val="000000"/>
                <w:shd w:val="clear" w:color="auto" w:fill="FFFFFF"/>
              </w:rPr>
              <w:t>.2023</w:t>
            </w:r>
          </w:p>
        </w:tc>
      </w:tr>
    </w:tbl>
    <w:p w:rsidR="00706628" w:rsidRPr="000622CF" w:rsidRDefault="00706628" w:rsidP="00706628"/>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48"/>
      </w:tblGrid>
      <w:tr w:rsidR="00706628" w:rsidRPr="000622CF" w:rsidTr="008C7632">
        <w:tc>
          <w:tcPr>
            <w:tcW w:w="10348" w:type="dxa"/>
          </w:tcPr>
          <w:p w:rsidR="00706628" w:rsidRPr="000622CF" w:rsidRDefault="00706628" w:rsidP="008D3295">
            <w:pPr>
              <w:jc w:val="center"/>
            </w:pPr>
            <w:r w:rsidRPr="000622CF">
              <w:t>2. Содержание сообщения</w:t>
            </w:r>
          </w:p>
        </w:tc>
      </w:tr>
      <w:tr w:rsidR="00706628" w:rsidRPr="000622CF" w:rsidTr="008C7632">
        <w:trPr>
          <w:trHeight w:val="554"/>
        </w:trPr>
        <w:tc>
          <w:tcPr>
            <w:tcW w:w="10348" w:type="dxa"/>
          </w:tcPr>
          <w:p w:rsidR="00B61A88" w:rsidRPr="00727442" w:rsidRDefault="00706628" w:rsidP="00B61A88">
            <w:pPr>
              <w:adjustRightInd w:val="0"/>
              <w:jc w:val="both"/>
              <w:rPr>
                <w:rFonts w:eastAsiaTheme="minorHAnsi"/>
                <w:lang w:eastAsia="en-US"/>
              </w:rPr>
            </w:pPr>
            <w:r w:rsidRPr="00727442">
              <w:t xml:space="preserve">2.1. </w:t>
            </w:r>
            <w:r w:rsidR="00B61A88" w:rsidRPr="00727442">
              <w:rPr>
                <w:rFonts w:eastAsiaTheme="minorHAnsi"/>
                <w:lang w:eastAsia="en-US"/>
              </w:rPr>
              <w:t>Сведения о кворуме заседания Совета директоров эмитента:</w:t>
            </w:r>
          </w:p>
          <w:p w:rsidR="00706628" w:rsidRPr="00727442" w:rsidRDefault="00706628" w:rsidP="00B61A88">
            <w:pPr>
              <w:ind w:right="57"/>
            </w:pPr>
            <w:r w:rsidRPr="00727442">
              <w:rPr>
                <w:b/>
              </w:rPr>
              <w:t>В заочно</w:t>
            </w:r>
            <w:r w:rsidR="00713852" w:rsidRPr="00727442">
              <w:rPr>
                <w:b/>
              </w:rPr>
              <w:t>м голосовании приняли участие 11</w:t>
            </w:r>
            <w:r w:rsidR="00617800" w:rsidRPr="00727442">
              <w:rPr>
                <w:b/>
              </w:rPr>
              <w:t xml:space="preserve"> из 11</w:t>
            </w:r>
            <w:r w:rsidRPr="00727442">
              <w:rPr>
                <w:b/>
              </w:rPr>
              <w:t xml:space="preserve"> членов Совета директоров ПАО «ОГК-2», приславшие в установленный срок заполненные бюллетени для голосования. КВОРУМ ИМЕЛСЯ</w:t>
            </w:r>
            <w:r w:rsidRPr="00727442">
              <w:t>.</w:t>
            </w:r>
          </w:p>
          <w:p w:rsidR="00706628" w:rsidRPr="00727442" w:rsidRDefault="00706628" w:rsidP="000B68BA">
            <w:pPr>
              <w:tabs>
                <w:tab w:val="left" w:pos="547"/>
              </w:tabs>
              <w:ind w:left="-28" w:right="57"/>
              <w:jc w:val="both"/>
            </w:pPr>
            <w:r w:rsidRPr="00727442">
              <w:t>2.2. Содержание решений, принятых советом директоров эмитента:</w:t>
            </w:r>
          </w:p>
          <w:p w:rsidR="00706628" w:rsidRPr="00727442" w:rsidRDefault="00706628" w:rsidP="00667C96">
            <w:pPr>
              <w:tabs>
                <w:tab w:val="left" w:pos="547"/>
              </w:tabs>
              <w:ind w:left="121" w:right="57"/>
              <w:jc w:val="both"/>
            </w:pPr>
          </w:p>
          <w:p w:rsidR="00CE1D80" w:rsidRPr="00727442" w:rsidRDefault="00706628" w:rsidP="003F4A67">
            <w:pPr>
              <w:pStyle w:val="a7"/>
              <w:widowControl w:val="0"/>
              <w:rPr>
                <w:b/>
              </w:rPr>
            </w:pPr>
            <w:r w:rsidRPr="00727442">
              <w:rPr>
                <w:b/>
              </w:rPr>
              <w:t>Вопрос:</w:t>
            </w:r>
          </w:p>
          <w:p w:rsidR="00D30CA3" w:rsidRPr="00D30CA3" w:rsidRDefault="004D40D1" w:rsidP="00D30CA3">
            <w:pPr>
              <w:pStyle w:val="3"/>
              <w:spacing w:before="20" w:after="20"/>
              <w:rPr>
                <w:rFonts w:eastAsia="Times New Roman" w:cs="Times New Roman"/>
                <w:b/>
                <w:noProof w:val="0"/>
                <w:sz w:val="20"/>
                <w:szCs w:val="20"/>
              </w:rPr>
            </w:pPr>
            <w:r w:rsidRPr="00AA7BAB">
              <w:rPr>
                <w:b/>
              </w:rPr>
              <w:t xml:space="preserve">1. </w:t>
            </w:r>
            <w:r w:rsidR="00D30CA3" w:rsidRPr="00D30CA3">
              <w:rPr>
                <w:rFonts w:eastAsia="Times New Roman" w:cs="Times New Roman"/>
                <w:b/>
                <w:noProof w:val="0"/>
                <w:sz w:val="20"/>
                <w:szCs w:val="20"/>
              </w:rPr>
              <w:t>О созыве внеочередного Общего собрания акционеров Общества и других вопросах, связанных с подготовкой и проведением Общего собрания акционеров Общества.</w:t>
            </w:r>
          </w:p>
          <w:p w:rsidR="00AA7BAB" w:rsidRPr="00AA7BAB" w:rsidRDefault="00AA7BAB" w:rsidP="00AA7BAB">
            <w:pPr>
              <w:spacing w:before="20" w:after="20"/>
              <w:rPr>
                <w:b/>
              </w:rPr>
            </w:pPr>
          </w:p>
          <w:p w:rsidR="008C2988" w:rsidRPr="00727442" w:rsidRDefault="00AF5387" w:rsidP="00CE1D80">
            <w:pPr>
              <w:widowControl w:val="0"/>
              <w:shd w:val="clear" w:color="auto" w:fill="FFFFFF"/>
              <w:tabs>
                <w:tab w:val="left" w:pos="426"/>
                <w:tab w:val="left" w:pos="851"/>
              </w:tabs>
              <w:suppressAutoHyphens/>
              <w:autoSpaceDE/>
              <w:jc w:val="both"/>
              <w:textAlignment w:val="baseline"/>
              <w:rPr>
                <w:bCs/>
              </w:rPr>
            </w:pPr>
            <w:r w:rsidRPr="00727442">
              <w:rPr>
                <w:bCs/>
              </w:rPr>
              <w:t xml:space="preserve">Результаты </w:t>
            </w:r>
            <w:r w:rsidR="00AF193B">
              <w:rPr>
                <w:bCs/>
              </w:rPr>
              <w:t xml:space="preserve">голосования: За – 11, </w:t>
            </w:r>
            <w:proofErr w:type="gramStart"/>
            <w:r w:rsidR="00AF193B">
              <w:rPr>
                <w:bCs/>
              </w:rPr>
              <w:t>Против</w:t>
            </w:r>
            <w:proofErr w:type="gramEnd"/>
            <w:r w:rsidR="00AF193B">
              <w:rPr>
                <w:bCs/>
              </w:rPr>
              <w:t xml:space="preserve"> – 0</w:t>
            </w:r>
            <w:r w:rsidRPr="00727442">
              <w:rPr>
                <w:bCs/>
              </w:rPr>
              <w:t>, Воздержался – 0, не учитывались при голосовании – 0.</w:t>
            </w:r>
          </w:p>
          <w:p w:rsidR="00AF5387" w:rsidRPr="00727442" w:rsidRDefault="00AF5387" w:rsidP="00CE1D80">
            <w:pPr>
              <w:widowControl w:val="0"/>
              <w:shd w:val="clear" w:color="auto" w:fill="FFFFFF"/>
              <w:tabs>
                <w:tab w:val="left" w:pos="426"/>
                <w:tab w:val="left" w:pos="851"/>
              </w:tabs>
              <w:suppressAutoHyphens/>
              <w:autoSpaceDE/>
              <w:jc w:val="both"/>
              <w:textAlignment w:val="baseline"/>
            </w:pPr>
          </w:p>
          <w:p w:rsidR="00CE1D80" w:rsidRDefault="00CE1D80" w:rsidP="00CE1D80">
            <w:pPr>
              <w:pStyle w:val="af"/>
              <w:rPr>
                <w:b/>
              </w:rPr>
            </w:pPr>
            <w:r w:rsidRPr="00727442">
              <w:rPr>
                <w:b/>
              </w:rPr>
              <w:t>Принятое решение:</w:t>
            </w:r>
          </w:p>
          <w:p w:rsidR="00D30CA3" w:rsidRPr="00D30CA3" w:rsidRDefault="00D30CA3" w:rsidP="00D30CA3">
            <w:pPr>
              <w:pStyle w:val="3"/>
              <w:spacing w:before="20" w:after="20"/>
              <w:rPr>
                <w:sz w:val="20"/>
                <w:szCs w:val="20"/>
              </w:rPr>
            </w:pPr>
            <w:r w:rsidRPr="00D30CA3">
              <w:rPr>
                <w:sz w:val="20"/>
                <w:szCs w:val="20"/>
              </w:rPr>
              <w:t>1. Созвать внеочередное Общее собрание акционеров ПАО «ОГК-2» в форме заочного голосования (далее – Собрание).</w:t>
            </w:r>
          </w:p>
          <w:p w:rsidR="00D30CA3" w:rsidRPr="00D30CA3" w:rsidRDefault="00D30CA3" w:rsidP="00D30CA3">
            <w:pPr>
              <w:pStyle w:val="3"/>
              <w:spacing w:before="20" w:after="20"/>
              <w:rPr>
                <w:sz w:val="20"/>
                <w:szCs w:val="20"/>
              </w:rPr>
            </w:pPr>
            <w:r w:rsidRPr="00D30CA3">
              <w:rPr>
                <w:sz w:val="20"/>
                <w:szCs w:val="20"/>
              </w:rPr>
              <w:t>2. Определить дату проведения Собрания (дату окончания приема заполненных бюллетеней для голосования): 10 октября 2023 года.</w:t>
            </w:r>
          </w:p>
          <w:p w:rsidR="00D30CA3" w:rsidRPr="00D30CA3" w:rsidRDefault="00D30CA3" w:rsidP="00D30CA3">
            <w:pPr>
              <w:pStyle w:val="3"/>
              <w:spacing w:before="20" w:after="20"/>
              <w:rPr>
                <w:sz w:val="20"/>
                <w:szCs w:val="20"/>
              </w:rPr>
            </w:pPr>
            <w:r w:rsidRPr="00D30CA3">
              <w:rPr>
                <w:sz w:val="20"/>
                <w:szCs w:val="20"/>
              </w:rPr>
              <w:t>3. Определить дату, на которую определяются (фиксируются) лица, имеющие право на участие в Собрании: 15 сентября 2023 года.</w:t>
            </w:r>
          </w:p>
          <w:p w:rsidR="00D30CA3" w:rsidRPr="00D30CA3" w:rsidRDefault="00D30CA3" w:rsidP="00D30CA3">
            <w:pPr>
              <w:pStyle w:val="3"/>
              <w:spacing w:before="20" w:after="20"/>
              <w:rPr>
                <w:sz w:val="20"/>
                <w:szCs w:val="20"/>
              </w:rPr>
            </w:pPr>
            <w:r w:rsidRPr="00D30CA3">
              <w:rPr>
                <w:sz w:val="20"/>
                <w:szCs w:val="20"/>
              </w:rPr>
              <w:t>4. Утвердить следующую повестку дня Собрания:</w:t>
            </w:r>
          </w:p>
          <w:p w:rsidR="00D30CA3" w:rsidRPr="00D30CA3" w:rsidRDefault="00D30CA3" w:rsidP="00D30CA3">
            <w:pPr>
              <w:pStyle w:val="3"/>
              <w:spacing w:before="20" w:after="20"/>
              <w:ind w:firstLine="426"/>
              <w:rPr>
                <w:sz w:val="20"/>
                <w:szCs w:val="20"/>
              </w:rPr>
            </w:pPr>
            <w:r w:rsidRPr="00D30CA3">
              <w:rPr>
                <w:sz w:val="20"/>
                <w:szCs w:val="20"/>
              </w:rPr>
              <w:t>1) Об увеличении уставного капитала Общества путем размещения дополнительных акций.</w:t>
            </w:r>
          </w:p>
          <w:p w:rsidR="00D30CA3" w:rsidRPr="00D30CA3" w:rsidRDefault="00D30CA3" w:rsidP="00D30CA3">
            <w:pPr>
              <w:pStyle w:val="3"/>
              <w:spacing w:before="20" w:after="20"/>
              <w:rPr>
                <w:sz w:val="20"/>
                <w:szCs w:val="20"/>
              </w:rPr>
            </w:pPr>
            <w:r w:rsidRPr="00D30CA3">
              <w:rPr>
                <w:sz w:val="20"/>
                <w:szCs w:val="20"/>
              </w:rPr>
              <w:t>5. Утвердить форму и текст сообщения о проведении Собрания в соответствии с Приложением № 1 к решению</w:t>
            </w:r>
            <w:r w:rsidR="00613D22">
              <w:rPr>
                <w:sz w:val="20"/>
                <w:szCs w:val="20"/>
              </w:rPr>
              <w:t xml:space="preserve"> Совета директоров</w:t>
            </w:r>
            <w:r w:rsidRPr="00D30CA3">
              <w:rPr>
                <w:sz w:val="20"/>
                <w:szCs w:val="20"/>
              </w:rPr>
              <w:t>.</w:t>
            </w:r>
          </w:p>
          <w:p w:rsidR="00D30CA3" w:rsidRPr="00D30CA3" w:rsidRDefault="00D30CA3" w:rsidP="00D30CA3">
            <w:pPr>
              <w:pStyle w:val="3"/>
              <w:spacing w:before="20" w:after="20"/>
              <w:rPr>
                <w:sz w:val="20"/>
                <w:szCs w:val="20"/>
              </w:rPr>
            </w:pPr>
            <w:r w:rsidRPr="00D30CA3">
              <w:rPr>
                <w:sz w:val="20"/>
                <w:szCs w:val="20"/>
              </w:rPr>
              <w:t>6. Утвердить форму и текст бюллетеня для голосования на Собрании, а также формулировки решений по вопросу повестки дня Собрания, которые должны направляться в электронной форме (в форме электронных документов) номинальным держателям акций Общества, зарегистрированным в реестре акционеров Общества, согласно Приложению № 2 к настоящему решению.</w:t>
            </w:r>
          </w:p>
          <w:p w:rsidR="00D30CA3" w:rsidRPr="00D30CA3" w:rsidRDefault="00D30CA3" w:rsidP="00D30CA3">
            <w:pPr>
              <w:pStyle w:val="3"/>
              <w:spacing w:before="20" w:after="20"/>
              <w:rPr>
                <w:sz w:val="20"/>
                <w:szCs w:val="20"/>
              </w:rPr>
            </w:pPr>
            <w:r w:rsidRPr="00D30CA3">
              <w:rPr>
                <w:sz w:val="20"/>
                <w:szCs w:val="20"/>
              </w:rPr>
              <w:t>7. Определить, что в соответствии с п.18.1. статьи 18 Устава Общества бюллетени для голосования направляются лицам, имеющим право на участие в Общем Собрании акционеров и зарегистрированным в реестре акционеров Общества:</w:t>
            </w:r>
          </w:p>
          <w:p w:rsidR="00D30CA3" w:rsidRPr="00D30CA3" w:rsidRDefault="00D30CA3" w:rsidP="00D30CA3">
            <w:pPr>
              <w:pStyle w:val="3"/>
              <w:spacing w:before="20" w:after="20"/>
              <w:rPr>
                <w:sz w:val="20"/>
                <w:szCs w:val="20"/>
              </w:rPr>
            </w:pPr>
            <w:r w:rsidRPr="00D30CA3">
              <w:rPr>
                <w:sz w:val="20"/>
                <w:szCs w:val="20"/>
              </w:rPr>
              <w:t xml:space="preserve">- в виде электронного сообщения, содержащего электронный файл бюллетеня, по указанному в реестре акционеров Общества адресу электронной почты соответствующего лица, указанного в списке лиц, имеющих право на участие в Общем собрании акционеров. </w:t>
            </w:r>
          </w:p>
          <w:p w:rsidR="00D30CA3" w:rsidRPr="00D30CA3" w:rsidRDefault="00D30CA3" w:rsidP="00D30CA3">
            <w:pPr>
              <w:pStyle w:val="3"/>
              <w:spacing w:before="20" w:after="20"/>
              <w:rPr>
                <w:sz w:val="20"/>
                <w:szCs w:val="20"/>
              </w:rPr>
            </w:pPr>
            <w:r w:rsidRPr="00D30CA3">
              <w:rPr>
                <w:sz w:val="20"/>
                <w:szCs w:val="20"/>
              </w:rPr>
              <w:t>Определить дату направления бюллетеней для голосования на Собрании в виде электронного сообщения, содержащего электронный файл бюллетеня, лицам, имеющим право на участие в Собрании, а также направления в электронной форме (в форме электронных документов) номинальным держателям акций, зарегистрированным в реестре акционеров Общества, не позднее 19 сентября 2023 года.</w:t>
            </w:r>
          </w:p>
          <w:p w:rsidR="00D30CA3" w:rsidRPr="00613D22" w:rsidRDefault="00D30CA3" w:rsidP="00D30CA3">
            <w:pPr>
              <w:pStyle w:val="3"/>
              <w:spacing w:before="20" w:after="20"/>
              <w:rPr>
                <w:i/>
                <w:iCs/>
                <w:sz w:val="20"/>
                <w:szCs w:val="20"/>
              </w:rPr>
            </w:pPr>
            <w:r w:rsidRPr="00D30CA3">
              <w:rPr>
                <w:sz w:val="20"/>
                <w:szCs w:val="20"/>
              </w:rPr>
              <w:t xml:space="preserve">8. Определить, что заполненные бюллетени для голосования должны быть направлены по адресу: </w:t>
            </w:r>
            <w:r w:rsidR="00613D22" w:rsidRPr="00613D22">
              <w:rPr>
                <w:bCs/>
                <w:sz w:val="20"/>
                <w:szCs w:val="20"/>
              </w:rPr>
              <w:t>196605, г. Санкт-Петербург, вн.тер.г. поселок Шушары, ш</w:t>
            </w:r>
            <w:r w:rsidR="009555E1">
              <w:rPr>
                <w:bCs/>
                <w:sz w:val="20"/>
                <w:szCs w:val="20"/>
              </w:rPr>
              <w:t xml:space="preserve">. </w:t>
            </w:r>
            <w:r w:rsidR="00613D22" w:rsidRPr="00613D22">
              <w:rPr>
                <w:bCs/>
                <w:sz w:val="20"/>
                <w:szCs w:val="20"/>
              </w:rPr>
              <w:t>Петербургское, д. 66, к. 1, литера А, этаж 7, помещ. 36-Н, каб. 701.</w:t>
            </w:r>
          </w:p>
          <w:p w:rsidR="00D30CA3" w:rsidRPr="00D30CA3" w:rsidRDefault="00D30CA3" w:rsidP="00D30CA3">
            <w:pPr>
              <w:pStyle w:val="3"/>
              <w:spacing w:before="20" w:after="20"/>
              <w:rPr>
                <w:sz w:val="20"/>
                <w:szCs w:val="20"/>
              </w:rPr>
            </w:pPr>
            <w:r w:rsidRPr="00D30CA3">
              <w:rPr>
                <w:sz w:val="20"/>
                <w:szCs w:val="20"/>
              </w:rPr>
              <w:t>Электронная форма бюллетеней может быть заполнена на сайте регистратора www.draga.ru  в информационно-телекоммуникационной сети Интернет в разделе Акционерам =&gt; Услуги =&gt; Участие в собрании акционеров =&gt; Заполнить электронную форму бюллетеня =&gt; Сервис «Личный кабинет акционера» (ПАО «ОГК-2»)  или по ссылке: https://draga.ru/akcioneram/uslugi/uchastie-v-sobranii-akcionerov/golosovanie/pao-ogk-2/ (для участия в электронном голосовании акционер ПАО «ОГК-2» должен получить доступ к сервису «Личный кабинет акционера». С порядком получения доступа можно ознакомиться на странице https://draga.ru/akcioneram/jelektronnye-servisy/lichnyj-kabinet-akcionera/).</w:t>
            </w:r>
          </w:p>
          <w:p w:rsidR="00D30CA3" w:rsidRPr="00D30CA3" w:rsidRDefault="00D30CA3" w:rsidP="00D30CA3">
            <w:pPr>
              <w:pStyle w:val="3"/>
              <w:spacing w:before="20" w:after="20"/>
              <w:rPr>
                <w:sz w:val="20"/>
                <w:szCs w:val="20"/>
              </w:rPr>
            </w:pPr>
            <w:r w:rsidRPr="00D30CA3">
              <w:rPr>
                <w:sz w:val="20"/>
                <w:szCs w:val="20"/>
              </w:rPr>
              <w:lastRenderedPageBreak/>
              <w:t>В связи с проведением Собрания в форме заочного голосования использование телекоммуникационных средств для обеспечения дистанционного доступа акционеров для участия в Собрании не предусмотрено.</w:t>
            </w:r>
          </w:p>
          <w:p w:rsidR="00D30CA3" w:rsidRPr="00D30CA3" w:rsidRDefault="00D30CA3" w:rsidP="00D30CA3">
            <w:pPr>
              <w:pStyle w:val="3"/>
              <w:spacing w:before="20" w:after="20"/>
              <w:rPr>
                <w:sz w:val="20"/>
                <w:szCs w:val="20"/>
              </w:rPr>
            </w:pPr>
            <w:r w:rsidRPr="00D30CA3">
              <w:rPr>
                <w:sz w:val="20"/>
                <w:szCs w:val="20"/>
              </w:rPr>
              <w:t>Лица, осуществляющие права по ценным бумагам, если их права на ценные бумаги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могут принять участие в Собрании и осуществить право голоса в порядке, установленном ст.8.9. ФЗ «О рынке ценных бумаг», с помощью электронных средств через депозитарную систему учета.</w:t>
            </w:r>
          </w:p>
          <w:p w:rsidR="00D30CA3" w:rsidRPr="00D30CA3" w:rsidRDefault="00D30CA3" w:rsidP="00D30CA3">
            <w:pPr>
              <w:pStyle w:val="3"/>
              <w:spacing w:before="20" w:after="20"/>
              <w:rPr>
                <w:sz w:val="20"/>
                <w:szCs w:val="20"/>
              </w:rPr>
            </w:pPr>
            <w:r w:rsidRPr="00D30CA3">
              <w:rPr>
                <w:sz w:val="20"/>
                <w:szCs w:val="20"/>
              </w:rPr>
              <w:t>9. Определить, что принявшими участие в Собрании будут считаться акционеры, бюллетени которых получены или электронная форма бюллетеней которых заполнена не позднее 09 октября 2023 года, а также акционеры, которые в соответствии с правилами законодательства Российской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09 октября 2023 года.</w:t>
            </w:r>
          </w:p>
          <w:p w:rsidR="00D30CA3" w:rsidRPr="00D30CA3" w:rsidRDefault="00D30CA3" w:rsidP="00D30CA3">
            <w:pPr>
              <w:pStyle w:val="3"/>
              <w:spacing w:before="20" w:after="20"/>
              <w:rPr>
                <w:sz w:val="20"/>
                <w:szCs w:val="20"/>
              </w:rPr>
            </w:pPr>
            <w:r w:rsidRPr="00D30CA3">
              <w:rPr>
                <w:sz w:val="20"/>
                <w:szCs w:val="20"/>
              </w:rPr>
              <w:t>10. Определить следующий порядок сообщения акционерам Общества о проведении Собрания:</w:t>
            </w:r>
          </w:p>
          <w:p w:rsidR="00D30CA3" w:rsidRPr="00D30CA3" w:rsidRDefault="00D30CA3" w:rsidP="00D30CA3">
            <w:pPr>
              <w:pStyle w:val="3"/>
              <w:spacing w:before="20" w:after="20"/>
              <w:rPr>
                <w:sz w:val="20"/>
                <w:szCs w:val="20"/>
              </w:rPr>
            </w:pPr>
            <w:r w:rsidRPr="00D30CA3">
              <w:rPr>
                <w:sz w:val="20"/>
                <w:szCs w:val="20"/>
              </w:rPr>
              <w:t>- сообщение о проведении Собрания размещается на официальном сайте Общества в сети Интернет по адресу: www.ogk2.ru  не позднее 18 сентября 2023 года;</w:t>
            </w:r>
          </w:p>
          <w:p w:rsidR="00D30CA3" w:rsidRPr="00D30CA3" w:rsidRDefault="00D30CA3" w:rsidP="00D30CA3">
            <w:pPr>
              <w:pStyle w:val="3"/>
              <w:spacing w:before="20" w:after="20"/>
              <w:rPr>
                <w:sz w:val="20"/>
                <w:szCs w:val="20"/>
              </w:rPr>
            </w:pPr>
            <w:r w:rsidRPr="00D30CA3">
              <w:rPr>
                <w:sz w:val="20"/>
                <w:szCs w:val="20"/>
              </w:rPr>
              <w:t>- сообщение о проведении Собрания направляется зарегистрированным в реестре акционеров Общества номинальным держателям акций в электронной форме (в форме электронных документов, подписанных электронной подписью) не позднее 18 сентября 2023 года.</w:t>
            </w:r>
          </w:p>
          <w:p w:rsidR="00D30CA3" w:rsidRPr="00D30CA3" w:rsidRDefault="00D30CA3" w:rsidP="00D30CA3">
            <w:pPr>
              <w:pStyle w:val="3"/>
              <w:spacing w:before="20" w:after="20"/>
              <w:rPr>
                <w:sz w:val="20"/>
                <w:szCs w:val="20"/>
              </w:rPr>
            </w:pPr>
            <w:r w:rsidRPr="00D30CA3">
              <w:rPr>
                <w:sz w:val="20"/>
                <w:szCs w:val="20"/>
              </w:rPr>
              <w:t>11. В связи с тем, что привилегированные акции Общества не выпускались, решения об определении типа (типов) привилегированных акций, владельцы которых обладают правом голоса по вопросам повестки дня Собрания, не принимать.</w:t>
            </w:r>
          </w:p>
          <w:p w:rsidR="00D30CA3" w:rsidRPr="00D30CA3" w:rsidRDefault="00D30CA3" w:rsidP="00D30CA3">
            <w:pPr>
              <w:pStyle w:val="3"/>
              <w:spacing w:before="20" w:after="20"/>
              <w:rPr>
                <w:sz w:val="20"/>
                <w:szCs w:val="20"/>
              </w:rPr>
            </w:pPr>
            <w:r w:rsidRPr="00D30CA3">
              <w:rPr>
                <w:sz w:val="20"/>
                <w:szCs w:val="20"/>
              </w:rPr>
              <w:t>12. Определить, что информацией (материалами), предоставляемой лицам, имеющим право на участие в Собрании, является:</w:t>
            </w:r>
          </w:p>
          <w:p w:rsidR="00D30CA3" w:rsidRPr="00D30CA3" w:rsidRDefault="00D30CA3" w:rsidP="00D30CA3">
            <w:pPr>
              <w:pStyle w:val="3"/>
              <w:spacing w:before="20" w:after="20"/>
              <w:rPr>
                <w:sz w:val="20"/>
                <w:szCs w:val="20"/>
              </w:rPr>
            </w:pPr>
            <w:r w:rsidRPr="00D30CA3">
              <w:rPr>
                <w:sz w:val="20"/>
                <w:szCs w:val="20"/>
              </w:rPr>
              <w:t>- проект решения по вопросу повестки дня Собрания;</w:t>
            </w:r>
          </w:p>
          <w:p w:rsidR="00D30CA3" w:rsidRPr="00D30CA3" w:rsidRDefault="00D30CA3" w:rsidP="00D30CA3">
            <w:pPr>
              <w:pStyle w:val="3"/>
              <w:spacing w:before="20" w:after="20"/>
              <w:rPr>
                <w:sz w:val="20"/>
                <w:szCs w:val="20"/>
              </w:rPr>
            </w:pPr>
            <w:r w:rsidRPr="00D30CA3">
              <w:rPr>
                <w:sz w:val="20"/>
                <w:szCs w:val="20"/>
              </w:rPr>
              <w:t>- предложение Совета директоров Общества по вопросу повестки дня Собрания;</w:t>
            </w:r>
          </w:p>
          <w:p w:rsidR="00D30CA3" w:rsidRPr="00D30CA3" w:rsidRDefault="00D30CA3" w:rsidP="00D30CA3">
            <w:pPr>
              <w:pStyle w:val="3"/>
              <w:spacing w:before="20" w:after="20"/>
              <w:rPr>
                <w:sz w:val="20"/>
                <w:szCs w:val="20"/>
              </w:rPr>
            </w:pPr>
            <w:r w:rsidRPr="00D30CA3">
              <w:rPr>
                <w:sz w:val="20"/>
                <w:szCs w:val="20"/>
              </w:rPr>
              <w:t>- информация об акционерных соглашениях, заключенных в течение года до даты проведения Собрания;</w:t>
            </w:r>
          </w:p>
          <w:p w:rsidR="00D30CA3" w:rsidRPr="00D30CA3" w:rsidRDefault="00D30CA3" w:rsidP="00D30CA3">
            <w:pPr>
              <w:pStyle w:val="3"/>
              <w:spacing w:before="20" w:after="20"/>
              <w:rPr>
                <w:sz w:val="20"/>
                <w:szCs w:val="20"/>
              </w:rPr>
            </w:pPr>
            <w:r w:rsidRPr="00D30CA3">
              <w:rPr>
                <w:sz w:val="20"/>
                <w:szCs w:val="20"/>
              </w:rPr>
              <w:t>- разъяснения о важности своевременного извещения регистратора Общества об изменении данных акционеров, необходимых для выплаты дивидендов (реквизиты банковского счета, почтовый адрес и т.п.), а также последствий и рисков, связанных с несвоевременным извещением об изменении таких данных;</w:t>
            </w:r>
          </w:p>
          <w:p w:rsidR="00D30CA3" w:rsidRPr="00D30CA3" w:rsidRDefault="00D30CA3" w:rsidP="00D30CA3">
            <w:pPr>
              <w:pStyle w:val="3"/>
              <w:spacing w:before="20" w:after="20"/>
              <w:rPr>
                <w:sz w:val="20"/>
                <w:szCs w:val="20"/>
              </w:rPr>
            </w:pPr>
            <w:r w:rsidRPr="00D30CA3">
              <w:rPr>
                <w:sz w:val="20"/>
                <w:szCs w:val="20"/>
              </w:rPr>
              <w:t>- примерная форма доверенности, которую акционер может выдать своему представителю для участия в общем собрании, информацию о порядке удостоверения такой доверенности.</w:t>
            </w:r>
          </w:p>
          <w:p w:rsidR="00D30CA3" w:rsidRPr="00D30CA3" w:rsidRDefault="00D30CA3" w:rsidP="00D30CA3">
            <w:pPr>
              <w:pStyle w:val="3"/>
              <w:spacing w:before="20" w:after="20"/>
              <w:rPr>
                <w:sz w:val="20"/>
                <w:szCs w:val="20"/>
              </w:rPr>
            </w:pPr>
            <w:r w:rsidRPr="00D30CA3">
              <w:rPr>
                <w:sz w:val="20"/>
                <w:szCs w:val="20"/>
              </w:rPr>
              <w:t xml:space="preserve">Определить, что с указанной информацией (материалами) лица, имеющие право на участие в Собрании, могут ознакомиться в течение 20 дней до даты проведения Собрания по месту нахождения Генерального директора по адресу: 199106, г. Санкт-Петербург, вн. тер. г. муниципальный округ Гавань, ул. Шкиперский проток, д. 12, к. 2, стр. 1, этаж 7, помещ. 2273 и по адресу: </w:t>
            </w:r>
            <w:r w:rsidR="00D37264" w:rsidRPr="00D37264">
              <w:rPr>
                <w:sz w:val="20"/>
                <w:szCs w:val="20"/>
              </w:rPr>
              <w:t>196605, г. Санкт-Петербург, вн.тер.г. поселок Шушары, ш</w:t>
            </w:r>
            <w:r w:rsidR="009555E1">
              <w:rPr>
                <w:sz w:val="20"/>
                <w:szCs w:val="20"/>
              </w:rPr>
              <w:t>.</w:t>
            </w:r>
            <w:r w:rsidR="00D37264" w:rsidRPr="00D37264">
              <w:rPr>
                <w:sz w:val="20"/>
                <w:szCs w:val="20"/>
              </w:rPr>
              <w:t xml:space="preserve"> Петербургское, д. 66, к. 1, литера А, этаж 7, помещ. 36-Н, каб. 701</w:t>
            </w:r>
            <w:r w:rsidR="00703B68" w:rsidRPr="00D37264">
              <w:rPr>
                <w:sz w:val="20"/>
                <w:szCs w:val="20"/>
              </w:rPr>
              <w:t>,</w:t>
            </w:r>
            <w:r w:rsidR="00D053D3">
              <w:rPr>
                <w:sz w:val="20"/>
                <w:szCs w:val="20"/>
              </w:rPr>
              <w:t xml:space="preserve"> </w:t>
            </w:r>
            <w:r w:rsidRPr="00D30CA3">
              <w:rPr>
                <w:sz w:val="20"/>
                <w:szCs w:val="20"/>
              </w:rPr>
              <w:t xml:space="preserve"> ПАО «ОГК-2».</w:t>
            </w:r>
          </w:p>
          <w:p w:rsidR="00D30CA3" w:rsidRPr="00D30CA3" w:rsidRDefault="00D30CA3" w:rsidP="00D30CA3">
            <w:pPr>
              <w:pStyle w:val="3"/>
              <w:spacing w:before="20" w:after="20"/>
              <w:rPr>
                <w:sz w:val="20"/>
                <w:szCs w:val="20"/>
              </w:rPr>
            </w:pPr>
            <w:r w:rsidRPr="00D30CA3">
              <w:rPr>
                <w:sz w:val="20"/>
                <w:szCs w:val="20"/>
              </w:rPr>
              <w:t>Определить, что указанная информация (материалы) также рассылается номинальным держателям акций в электронном виде не позднее 19 сентября 2023 года.</w:t>
            </w:r>
          </w:p>
          <w:p w:rsidR="00D30CA3" w:rsidRDefault="00D30CA3" w:rsidP="00D30CA3">
            <w:pPr>
              <w:pStyle w:val="3"/>
              <w:spacing w:before="20" w:after="20"/>
              <w:rPr>
                <w:sz w:val="20"/>
                <w:szCs w:val="20"/>
              </w:rPr>
            </w:pPr>
            <w:r w:rsidRPr="00D30CA3">
              <w:rPr>
                <w:sz w:val="20"/>
                <w:szCs w:val="20"/>
              </w:rPr>
              <w:t>Определить, что указанная информация (материалы) размещается на сайте Общества в сети Интернет: www.ogk2.ru  не позднее 19 сентября 2023 года.</w:t>
            </w:r>
          </w:p>
          <w:p w:rsidR="00D30CA3" w:rsidRDefault="00D30CA3" w:rsidP="00D30CA3">
            <w:pPr>
              <w:pStyle w:val="3"/>
              <w:spacing w:before="20" w:after="20"/>
              <w:rPr>
                <w:sz w:val="20"/>
                <w:szCs w:val="20"/>
              </w:rPr>
            </w:pPr>
          </w:p>
          <w:p w:rsidR="00D30CA3" w:rsidRPr="00D30CA3" w:rsidRDefault="00D30CA3" w:rsidP="00D30CA3">
            <w:pPr>
              <w:pStyle w:val="3"/>
              <w:rPr>
                <w:b/>
              </w:rPr>
            </w:pPr>
            <w:r w:rsidRPr="00D30CA3">
              <w:rPr>
                <w:b/>
                <w:sz w:val="20"/>
                <w:szCs w:val="20"/>
              </w:rPr>
              <w:t>2.</w:t>
            </w:r>
            <w:r w:rsidRPr="00AA7BAB">
              <w:rPr>
                <w:b/>
              </w:rPr>
              <w:t xml:space="preserve"> </w:t>
            </w:r>
            <w:r w:rsidRPr="00D30CA3">
              <w:rPr>
                <w:b/>
                <w:sz w:val="20"/>
                <w:szCs w:val="20"/>
              </w:rPr>
              <w:t>О предложениях Общему собранию акционеров Общества по вопросу повестки дня внеочередного Общего собрания акционеров Общества «Об увеличении уставного капитала Общества путем размещения дополнительных акций».</w:t>
            </w:r>
          </w:p>
          <w:p w:rsidR="00D30CA3" w:rsidRPr="00AA7BAB" w:rsidRDefault="00D30CA3" w:rsidP="00D30CA3">
            <w:pPr>
              <w:spacing w:before="20" w:after="20"/>
              <w:rPr>
                <w:b/>
              </w:rPr>
            </w:pPr>
          </w:p>
          <w:p w:rsidR="00D30CA3" w:rsidRPr="00727442" w:rsidRDefault="00D30CA3" w:rsidP="00D30CA3">
            <w:pPr>
              <w:widowControl w:val="0"/>
              <w:shd w:val="clear" w:color="auto" w:fill="FFFFFF"/>
              <w:tabs>
                <w:tab w:val="left" w:pos="426"/>
                <w:tab w:val="left" w:pos="851"/>
              </w:tabs>
              <w:suppressAutoHyphens/>
              <w:autoSpaceDE/>
              <w:jc w:val="both"/>
              <w:textAlignment w:val="baseline"/>
              <w:rPr>
                <w:bCs/>
              </w:rPr>
            </w:pPr>
            <w:r w:rsidRPr="00727442">
              <w:rPr>
                <w:bCs/>
              </w:rPr>
              <w:t xml:space="preserve">Результаты </w:t>
            </w:r>
            <w:r>
              <w:rPr>
                <w:bCs/>
              </w:rPr>
              <w:t xml:space="preserve">голосования: За – 11, </w:t>
            </w:r>
            <w:proofErr w:type="gramStart"/>
            <w:r>
              <w:rPr>
                <w:bCs/>
              </w:rPr>
              <w:t>Против</w:t>
            </w:r>
            <w:proofErr w:type="gramEnd"/>
            <w:r>
              <w:rPr>
                <w:bCs/>
              </w:rPr>
              <w:t xml:space="preserve"> – 0</w:t>
            </w:r>
            <w:r w:rsidRPr="00727442">
              <w:rPr>
                <w:bCs/>
              </w:rPr>
              <w:t>, Воздержался – 0, не учитывались при голосовании – 0.</w:t>
            </w:r>
          </w:p>
          <w:p w:rsidR="00D30CA3" w:rsidRPr="00727442" w:rsidRDefault="00D30CA3" w:rsidP="00D30CA3">
            <w:pPr>
              <w:widowControl w:val="0"/>
              <w:shd w:val="clear" w:color="auto" w:fill="FFFFFF"/>
              <w:tabs>
                <w:tab w:val="left" w:pos="426"/>
                <w:tab w:val="left" w:pos="851"/>
              </w:tabs>
              <w:suppressAutoHyphens/>
              <w:autoSpaceDE/>
              <w:jc w:val="both"/>
              <w:textAlignment w:val="baseline"/>
            </w:pPr>
          </w:p>
          <w:p w:rsidR="00D30CA3" w:rsidRDefault="00D30CA3" w:rsidP="00D30CA3">
            <w:pPr>
              <w:pStyle w:val="af"/>
              <w:rPr>
                <w:b/>
              </w:rPr>
            </w:pPr>
            <w:r w:rsidRPr="00727442">
              <w:rPr>
                <w:b/>
              </w:rPr>
              <w:t>Принятое решение:</w:t>
            </w:r>
          </w:p>
          <w:p w:rsidR="00D30CA3" w:rsidRPr="00D30CA3" w:rsidRDefault="00D30CA3" w:rsidP="00D30CA3">
            <w:pPr>
              <w:pStyle w:val="3"/>
              <w:spacing w:before="20" w:after="20"/>
              <w:rPr>
                <w:sz w:val="20"/>
                <w:szCs w:val="20"/>
              </w:rPr>
            </w:pPr>
            <w:r w:rsidRPr="00D30CA3">
              <w:rPr>
                <w:sz w:val="20"/>
                <w:szCs w:val="20"/>
              </w:rPr>
              <w:t xml:space="preserve">Предложить Общему собранию акционеров Общества принять решение об увеличении уставного капитала ПАО «ОГК-2» путем размещения дополнительных обыкновенных акций в количестве 48 283 938 719 (Сорок восемь миллиардов двести восемьдесят три миллиона девятьсот тридцать восемь тысяч семьсот девятнадцать) штук, номинальной стоимостью 0,3627 (Ноль целых три тысячи шестьсот двадцать семь десятитысячных) рубля, каждая на общую сумму по номинальной стоимости 17 512 584 573,3813 (Семнадцать миллиардов пятьсот двенадцать миллионов пятьсот восемьдесят четыре тысячи пятьсот семьдесят три целых три тысячи восемьсот тринадцать десятитысячных) рубля. </w:t>
            </w:r>
          </w:p>
          <w:p w:rsidR="00D30CA3" w:rsidRDefault="00D30CA3" w:rsidP="00D30CA3">
            <w:pPr>
              <w:pStyle w:val="3"/>
              <w:spacing w:before="20" w:after="20"/>
              <w:rPr>
                <w:sz w:val="20"/>
                <w:szCs w:val="20"/>
              </w:rPr>
            </w:pPr>
            <w:r w:rsidRPr="00F319C3">
              <w:rPr>
                <w:sz w:val="20"/>
                <w:szCs w:val="20"/>
              </w:rPr>
              <w:t xml:space="preserve">Предложить Общему собранию акционеров Общества определить следующий способ размещения дополнительных акций: закрытая подписка. </w:t>
            </w:r>
          </w:p>
          <w:p w:rsidR="00DE2478" w:rsidRPr="00DE2478" w:rsidRDefault="00DE2478" w:rsidP="00DE2478">
            <w:pPr>
              <w:pStyle w:val="3"/>
              <w:spacing w:before="20" w:after="20"/>
              <w:rPr>
                <w:b/>
                <w:i/>
                <w:sz w:val="20"/>
                <w:szCs w:val="20"/>
              </w:rPr>
            </w:pPr>
            <w:r w:rsidRPr="00DE2478">
              <w:rPr>
                <w:b/>
                <w:i/>
                <w:sz w:val="20"/>
                <w:szCs w:val="20"/>
              </w:rPr>
              <w:t xml:space="preserve">Информация </w:t>
            </w:r>
            <w:r>
              <w:rPr>
                <w:b/>
                <w:i/>
                <w:sz w:val="20"/>
                <w:szCs w:val="20"/>
              </w:rPr>
              <w:t xml:space="preserve">о круге лиц, среди которых </w:t>
            </w:r>
            <w:r w:rsidRPr="00DE2478">
              <w:rPr>
                <w:b/>
                <w:i/>
                <w:sz w:val="20"/>
                <w:szCs w:val="20"/>
              </w:rPr>
              <w:t>предполагается осуществить размещение акций не раскрывается</w:t>
            </w:r>
            <w:r>
              <w:rPr>
                <w:b/>
                <w:i/>
                <w:sz w:val="20"/>
                <w:szCs w:val="20"/>
              </w:rPr>
              <w:t xml:space="preserve"> </w:t>
            </w:r>
            <w:r w:rsidRPr="00DE2478">
              <w:rPr>
                <w:b/>
                <w:i/>
                <w:sz w:val="20"/>
                <w:szCs w:val="20"/>
              </w:rPr>
              <w:t>согласно абз. 2 п.1 Постановления Правительства РФ «Об особенностях раскрытия и (или)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«О рынке ценных бумаг» от 4 июля 2023 г. № 1102</w:t>
            </w:r>
            <w:r>
              <w:rPr>
                <w:b/>
                <w:i/>
                <w:sz w:val="20"/>
                <w:szCs w:val="20"/>
              </w:rPr>
              <w:t>.</w:t>
            </w:r>
            <w:bookmarkStart w:id="0" w:name="_GoBack"/>
            <w:bookmarkEnd w:id="0"/>
          </w:p>
          <w:p w:rsidR="00D30CA3" w:rsidRPr="00D30CA3" w:rsidRDefault="00D30CA3" w:rsidP="00D30CA3">
            <w:pPr>
              <w:pStyle w:val="3"/>
              <w:spacing w:before="20" w:after="20"/>
              <w:rPr>
                <w:sz w:val="20"/>
                <w:szCs w:val="20"/>
              </w:rPr>
            </w:pPr>
            <w:r w:rsidRPr="00D30CA3">
              <w:rPr>
                <w:sz w:val="20"/>
                <w:szCs w:val="20"/>
              </w:rPr>
              <w:t xml:space="preserve">Предложить Общему собранию акционеров Общества определить следующий порядок определения цены размещения дополнительных акций: Цена/порядок определения цены размещения дополнительных акций (в том числе лицам, включенным в список лиц, имеющих преимущественное право приобретения размещаемых дополнительных акций) устанавливается Советом директоров ПАО «ОГК-2» в соответствии со статьями 36, 77 Федерального закона «Об акционерных обществах» не позднее начала размещения дополнительных акций. </w:t>
            </w:r>
          </w:p>
          <w:p w:rsidR="00D30CA3" w:rsidRPr="00D30CA3" w:rsidRDefault="00D30CA3" w:rsidP="00D30CA3">
            <w:pPr>
              <w:pStyle w:val="3"/>
              <w:spacing w:before="20" w:after="20"/>
              <w:rPr>
                <w:sz w:val="20"/>
                <w:szCs w:val="20"/>
              </w:rPr>
            </w:pPr>
            <w:r w:rsidRPr="00D30CA3">
              <w:rPr>
                <w:sz w:val="20"/>
                <w:szCs w:val="20"/>
              </w:rPr>
              <w:lastRenderedPageBreak/>
              <w:t>Предложить Общему собранию акционеров Общества определить следующую форму оплаты размещаемых дополнительных акций: дополнительные акции ПАО «ОГК-2» оплачиваются денежными средствами в рублях Российской Федерации либо путем зачета денежных требований к ПАО «ОГК-2».</w:t>
            </w:r>
          </w:p>
          <w:p w:rsidR="00970E66" w:rsidRPr="008E6071" w:rsidRDefault="00970E66" w:rsidP="00970E66">
            <w:pPr>
              <w:ind w:right="57" w:firstLine="21"/>
              <w:jc w:val="both"/>
              <w:rPr>
                <w:b/>
                <w:color w:val="000000"/>
              </w:rPr>
            </w:pPr>
            <w:r w:rsidRPr="008E6071">
              <w:rPr>
                <w:color w:val="000000"/>
              </w:rPr>
              <w:t>2.3. Дата проведения заседания совета директоров эмитента, на котором приняты решения:</w:t>
            </w:r>
            <w:r w:rsidRPr="008E6071">
              <w:rPr>
                <w:b/>
                <w:color w:val="000000"/>
              </w:rPr>
              <w:t xml:space="preserve"> </w:t>
            </w:r>
            <w:r w:rsidR="00D30CA3">
              <w:rPr>
                <w:b/>
                <w:color w:val="000000"/>
              </w:rPr>
              <w:t>04</w:t>
            </w:r>
            <w:r w:rsidRPr="008E6071">
              <w:rPr>
                <w:b/>
                <w:color w:val="000000"/>
              </w:rPr>
              <w:t>.</w:t>
            </w:r>
            <w:r w:rsidR="00D30CA3">
              <w:rPr>
                <w:b/>
                <w:color w:val="000000"/>
              </w:rPr>
              <w:t>09</w:t>
            </w:r>
            <w:r w:rsidRPr="008E6071">
              <w:rPr>
                <w:b/>
                <w:color w:val="000000"/>
              </w:rPr>
              <w:t>.</w:t>
            </w:r>
            <w:r>
              <w:rPr>
                <w:b/>
                <w:color w:val="000000"/>
              </w:rPr>
              <w:t>2023</w:t>
            </w:r>
            <w:r w:rsidRPr="008E6071">
              <w:rPr>
                <w:b/>
                <w:color w:val="000000"/>
              </w:rPr>
              <w:t>.</w:t>
            </w:r>
          </w:p>
          <w:p w:rsidR="00926D6D" w:rsidRDefault="00970E66" w:rsidP="00970E66">
            <w:pPr>
              <w:ind w:right="57" w:firstLine="21"/>
              <w:jc w:val="both"/>
              <w:rPr>
                <w:rFonts w:eastAsiaTheme="minorHAnsi"/>
                <w:lang w:eastAsia="en-US"/>
              </w:rPr>
            </w:pPr>
            <w:r w:rsidRPr="008E6071">
              <w:rPr>
                <w:color w:val="000000"/>
              </w:rPr>
              <w:t xml:space="preserve">2.4. Дата составления и номер протокола заседания совета директоров эмитента, на котором приняты решения: </w:t>
            </w:r>
            <w:r w:rsidRPr="008E6071">
              <w:rPr>
                <w:b/>
              </w:rPr>
              <w:t xml:space="preserve">Протокол от </w:t>
            </w:r>
            <w:r w:rsidR="00D30CA3">
              <w:rPr>
                <w:b/>
              </w:rPr>
              <w:t>04.09</w:t>
            </w:r>
            <w:r w:rsidRPr="008E6071">
              <w:rPr>
                <w:b/>
              </w:rPr>
              <w:t>.20</w:t>
            </w:r>
            <w:r w:rsidR="00D30CA3">
              <w:rPr>
                <w:b/>
              </w:rPr>
              <w:t>23 № 306</w:t>
            </w:r>
            <w:r w:rsidRPr="008E6071">
              <w:rPr>
                <w:b/>
              </w:rPr>
              <w:t>.</w:t>
            </w:r>
          </w:p>
          <w:p w:rsidR="004D40D1" w:rsidRPr="00926D6D" w:rsidRDefault="00820006" w:rsidP="00926D6D">
            <w:pPr>
              <w:ind w:right="57" w:firstLine="21"/>
              <w:jc w:val="both"/>
              <w:rPr>
                <w:color w:val="000000"/>
              </w:rPr>
            </w:pPr>
            <w:r>
              <w:rPr>
                <w:rFonts w:eastAsiaTheme="minorHAnsi"/>
                <w:lang w:eastAsia="en-US"/>
              </w:rPr>
              <w:t xml:space="preserve">2.5. </w:t>
            </w:r>
            <w:r w:rsidR="00926D6D">
              <w:t xml:space="preserve">В случае принятия советом директоров решений, связанных с осуществлением прав по ценным бумагам эмитента, в отношении таких ценных бумаг дополнительно должны быть указаны идентификационные признаки ценных бумаг: </w:t>
            </w:r>
            <w:r w:rsidR="004D40D1" w:rsidRPr="004D40D1">
              <w:rPr>
                <w:b/>
              </w:rPr>
              <w:t>акции обыкновенные, государственный регистрационный номер 1-02-65105-D от 19.04.2007, международный код (номер) идентификации це</w:t>
            </w:r>
            <w:r w:rsidR="004D40D1">
              <w:rPr>
                <w:b/>
              </w:rPr>
              <w:t xml:space="preserve">нных бумаг (ISIN): RU000A0JNG55, </w:t>
            </w:r>
            <w:r w:rsidR="004D40D1" w:rsidRPr="004D40D1">
              <w:rPr>
                <w:b/>
              </w:rPr>
              <w:t>международный код классификации финансовых инструментов (CFI</w:t>
            </w:r>
            <w:r w:rsidR="004D40D1">
              <w:rPr>
                <w:b/>
              </w:rPr>
              <w:t>)</w:t>
            </w:r>
            <w:r w:rsidR="004D40D1" w:rsidRPr="004D40D1">
              <w:rPr>
                <w:b/>
              </w:rPr>
              <w:t xml:space="preserve"> </w:t>
            </w:r>
            <w:r w:rsidR="004D40D1">
              <w:rPr>
                <w:b/>
              </w:rPr>
              <w:t>ESVXFR</w:t>
            </w:r>
            <w:r w:rsidR="00970E66">
              <w:rPr>
                <w:b/>
              </w:rPr>
              <w:t>.</w:t>
            </w:r>
          </w:p>
        </w:tc>
      </w:tr>
    </w:tbl>
    <w:p w:rsidR="00706628" w:rsidRPr="00D76414" w:rsidRDefault="00706628" w:rsidP="00706628"/>
    <w:tbl>
      <w:tblPr>
        <w:tblW w:w="104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29"/>
        <w:gridCol w:w="607"/>
        <w:gridCol w:w="293"/>
        <w:gridCol w:w="1319"/>
        <w:gridCol w:w="415"/>
        <w:gridCol w:w="307"/>
        <w:gridCol w:w="1526"/>
        <w:gridCol w:w="1340"/>
        <w:gridCol w:w="461"/>
        <w:gridCol w:w="2451"/>
        <w:gridCol w:w="100"/>
      </w:tblGrid>
      <w:tr w:rsidR="00706628" w:rsidRPr="000622CF" w:rsidTr="008C7632">
        <w:trPr>
          <w:cantSplit/>
        </w:trPr>
        <w:tc>
          <w:tcPr>
            <w:tcW w:w="10448" w:type="dxa"/>
            <w:gridSpan w:val="11"/>
            <w:tcBorders>
              <w:top w:val="single" w:sz="4" w:space="0" w:color="auto"/>
              <w:left w:val="single" w:sz="4" w:space="0" w:color="auto"/>
              <w:bottom w:val="single" w:sz="4" w:space="0" w:color="auto"/>
              <w:right w:val="single" w:sz="4" w:space="0" w:color="auto"/>
            </w:tcBorders>
            <w:hideMark/>
          </w:tcPr>
          <w:p w:rsidR="00706628" w:rsidRPr="000622CF" w:rsidRDefault="00706628" w:rsidP="008C7632">
            <w:pPr>
              <w:ind w:left="-61" w:firstLine="33"/>
              <w:jc w:val="center"/>
            </w:pPr>
            <w:r w:rsidRPr="000622CF">
              <w:t>3. Подпись</w:t>
            </w:r>
          </w:p>
        </w:tc>
      </w:tr>
      <w:tr w:rsidR="004D40D1" w:rsidRPr="000622CF" w:rsidTr="008C7632">
        <w:trPr>
          <w:cantSplit/>
        </w:trPr>
        <w:tc>
          <w:tcPr>
            <w:tcW w:w="6096" w:type="dxa"/>
            <w:gridSpan w:val="7"/>
            <w:tcBorders>
              <w:top w:val="single" w:sz="4" w:space="0" w:color="auto"/>
              <w:left w:val="single" w:sz="4" w:space="0" w:color="auto"/>
              <w:bottom w:val="nil"/>
              <w:right w:val="nil"/>
            </w:tcBorders>
            <w:vAlign w:val="bottom"/>
            <w:hideMark/>
          </w:tcPr>
          <w:p w:rsidR="00AA7BAB" w:rsidRPr="00EA6E8E" w:rsidRDefault="004D40D1" w:rsidP="00AA7BAB">
            <w:pPr>
              <w:ind w:left="57"/>
              <w:rPr>
                <w:b/>
              </w:rPr>
            </w:pPr>
            <w:r w:rsidRPr="00AA7BAB">
              <w:rPr>
                <w:b/>
              </w:rPr>
              <w:t>3.1.</w:t>
            </w:r>
            <w:r>
              <w:rPr>
                <w:szCs w:val="22"/>
              </w:rPr>
              <w:t xml:space="preserve"> </w:t>
            </w:r>
            <w:r w:rsidR="00AA7BAB" w:rsidRPr="00EA6E8E">
              <w:rPr>
                <w:b/>
              </w:rPr>
              <w:t>Заместитель управляющего директора</w:t>
            </w:r>
          </w:p>
          <w:p w:rsidR="004D40D1" w:rsidRPr="00354F41" w:rsidRDefault="00AA7BAB" w:rsidP="00354F41">
            <w:pPr>
              <w:ind w:left="57"/>
              <w:rPr>
                <w:b/>
              </w:rPr>
            </w:pPr>
            <w:r w:rsidRPr="00EA6E8E">
              <w:rPr>
                <w:b/>
              </w:rPr>
              <w:t xml:space="preserve">по корпоративным и правовым вопросам, действующий на основании доверенности </w:t>
            </w:r>
            <w:r w:rsidR="00354F41">
              <w:rPr>
                <w:b/>
              </w:rPr>
              <w:t xml:space="preserve">№ 77/299-н/77-2022-1-1027 от </w:t>
            </w:r>
            <w:r w:rsidRPr="00EA6E8E">
              <w:rPr>
                <w:b/>
              </w:rPr>
              <w:t>25.03.2022</w:t>
            </w:r>
          </w:p>
        </w:tc>
        <w:tc>
          <w:tcPr>
            <w:tcW w:w="1801" w:type="dxa"/>
            <w:gridSpan w:val="2"/>
            <w:tcBorders>
              <w:top w:val="single" w:sz="4" w:space="0" w:color="auto"/>
              <w:left w:val="nil"/>
              <w:bottom w:val="single" w:sz="4" w:space="0" w:color="auto"/>
              <w:right w:val="nil"/>
            </w:tcBorders>
            <w:vAlign w:val="bottom"/>
          </w:tcPr>
          <w:p w:rsidR="004D40D1" w:rsidRDefault="004D40D1" w:rsidP="004D40D1">
            <w:pPr>
              <w:rPr>
                <w:b/>
                <w:i/>
                <w:szCs w:val="22"/>
                <w:lang w:eastAsia="ko-KR"/>
              </w:rPr>
            </w:pPr>
          </w:p>
        </w:tc>
        <w:tc>
          <w:tcPr>
            <w:tcW w:w="2451" w:type="dxa"/>
            <w:tcBorders>
              <w:top w:val="single" w:sz="4" w:space="0" w:color="auto"/>
              <w:left w:val="nil"/>
              <w:bottom w:val="nil"/>
              <w:right w:val="nil"/>
            </w:tcBorders>
            <w:vAlign w:val="bottom"/>
            <w:hideMark/>
          </w:tcPr>
          <w:p w:rsidR="004D40D1" w:rsidRPr="00AA7BAB" w:rsidRDefault="00AA7BAB" w:rsidP="004D40D1">
            <w:pPr>
              <w:jc w:val="right"/>
              <w:rPr>
                <w:b/>
              </w:rPr>
            </w:pPr>
            <w:r w:rsidRPr="00AA7BAB">
              <w:rPr>
                <w:b/>
              </w:rPr>
              <w:t xml:space="preserve">            М.А. Чалый</w:t>
            </w:r>
          </w:p>
        </w:tc>
        <w:tc>
          <w:tcPr>
            <w:tcW w:w="100" w:type="dxa"/>
            <w:tcBorders>
              <w:top w:val="single" w:sz="4" w:space="0" w:color="auto"/>
              <w:left w:val="nil"/>
              <w:bottom w:val="nil"/>
              <w:right w:val="single" w:sz="4" w:space="0" w:color="auto"/>
            </w:tcBorders>
            <w:vAlign w:val="bottom"/>
          </w:tcPr>
          <w:p w:rsidR="004D40D1" w:rsidRPr="000622CF" w:rsidRDefault="004D40D1" w:rsidP="004D40D1">
            <w:pPr>
              <w:rPr>
                <w:b/>
              </w:rPr>
            </w:pPr>
          </w:p>
        </w:tc>
      </w:tr>
      <w:tr w:rsidR="00706628" w:rsidRPr="000622CF" w:rsidTr="008C7632">
        <w:trPr>
          <w:cantSplit/>
          <w:trHeight w:hRule="exact" w:val="280"/>
        </w:trPr>
        <w:tc>
          <w:tcPr>
            <w:tcW w:w="6096" w:type="dxa"/>
            <w:gridSpan w:val="7"/>
            <w:tcBorders>
              <w:top w:val="nil"/>
              <w:left w:val="single" w:sz="4" w:space="0" w:color="auto"/>
              <w:bottom w:val="nil"/>
              <w:right w:val="nil"/>
            </w:tcBorders>
          </w:tcPr>
          <w:p w:rsidR="00706628" w:rsidRPr="000622CF" w:rsidRDefault="00706628" w:rsidP="00667C96"/>
        </w:tc>
        <w:tc>
          <w:tcPr>
            <w:tcW w:w="1801" w:type="dxa"/>
            <w:gridSpan w:val="2"/>
            <w:tcBorders>
              <w:top w:val="nil"/>
              <w:left w:val="nil"/>
              <w:bottom w:val="nil"/>
              <w:right w:val="nil"/>
            </w:tcBorders>
            <w:hideMark/>
          </w:tcPr>
          <w:p w:rsidR="00706628" w:rsidRPr="000622CF" w:rsidRDefault="00706628" w:rsidP="00667C96">
            <w:pPr>
              <w:jc w:val="center"/>
            </w:pPr>
            <w:r w:rsidRPr="000622CF">
              <w:t>(подпись)</w:t>
            </w:r>
          </w:p>
        </w:tc>
        <w:tc>
          <w:tcPr>
            <w:tcW w:w="2451" w:type="dxa"/>
            <w:tcBorders>
              <w:top w:val="nil"/>
              <w:left w:val="nil"/>
              <w:bottom w:val="nil"/>
              <w:right w:val="nil"/>
            </w:tcBorders>
          </w:tcPr>
          <w:p w:rsidR="00706628" w:rsidRPr="000622CF" w:rsidRDefault="00706628" w:rsidP="00667C96"/>
        </w:tc>
        <w:tc>
          <w:tcPr>
            <w:tcW w:w="100" w:type="dxa"/>
            <w:tcBorders>
              <w:top w:val="nil"/>
              <w:left w:val="nil"/>
              <w:bottom w:val="nil"/>
              <w:right w:val="single" w:sz="4" w:space="0" w:color="auto"/>
            </w:tcBorders>
          </w:tcPr>
          <w:p w:rsidR="00706628" w:rsidRPr="000622CF" w:rsidRDefault="00706628" w:rsidP="00667C96"/>
        </w:tc>
      </w:tr>
      <w:tr w:rsidR="00706628" w:rsidRPr="000622CF" w:rsidTr="008C7632">
        <w:trPr>
          <w:cantSplit/>
          <w:trHeight w:val="61"/>
        </w:trPr>
        <w:tc>
          <w:tcPr>
            <w:tcW w:w="1629" w:type="dxa"/>
            <w:tcBorders>
              <w:top w:val="nil"/>
              <w:left w:val="single" w:sz="4" w:space="0" w:color="auto"/>
              <w:bottom w:val="single" w:sz="4" w:space="0" w:color="auto"/>
              <w:right w:val="nil"/>
            </w:tcBorders>
            <w:vAlign w:val="bottom"/>
            <w:hideMark/>
          </w:tcPr>
          <w:p w:rsidR="00706628" w:rsidRPr="000622CF" w:rsidRDefault="00706628" w:rsidP="00667C96">
            <w:pPr>
              <w:tabs>
                <w:tab w:val="left" w:pos="893"/>
                <w:tab w:val="left" w:pos="1532"/>
              </w:tabs>
              <w:ind w:left="57"/>
            </w:pPr>
            <w:r w:rsidRPr="000622CF">
              <w:t xml:space="preserve">3.2. Дата        </w:t>
            </w:r>
          </w:p>
        </w:tc>
        <w:tc>
          <w:tcPr>
            <w:tcW w:w="607" w:type="dxa"/>
            <w:tcBorders>
              <w:top w:val="nil"/>
              <w:left w:val="nil"/>
              <w:bottom w:val="single" w:sz="4" w:space="0" w:color="auto"/>
              <w:right w:val="nil"/>
            </w:tcBorders>
            <w:vAlign w:val="bottom"/>
            <w:hideMark/>
          </w:tcPr>
          <w:p w:rsidR="00706628" w:rsidRPr="000622CF" w:rsidRDefault="00FD328E" w:rsidP="00AA7BAB">
            <w:r>
              <w:t>«05</w:t>
            </w:r>
            <w:r w:rsidR="002F0627" w:rsidRPr="000622CF">
              <w:t>»</w:t>
            </w:r>
          </w:p>
        </w:tc>
        <w:tc>
          <w:tcPr>
            <w:tcW w:w="293" w:type="dxa"/>
            <w:tcBorders>
              <w:top w:val="nil"/>
              <w:left w:val="nil"/>
              <w:bottom w:val="single" w:sz="4" w:space="0" w:color="auto"/>
              <w:right w:val="nil"/>
            </w:tcBorders>
            <w:vAlign w:val="bottom"/>
            <w:hideMark/>
          </w:tcPr>
          <w:p w:rsidR="00706628" w:rsidRPr="000622CF" w:rsidRDefault="00706628" w:rsidP="00667C96"/>
        </w:tc>
        <w:tc>
          <w:tcPr>
            <w:tcW w:w="1319" w:type="dxa"/>
            <w:tcBorders>
              <w:top w:val="nil"/>
              <w:left w:val="nil"/>
              <w:bottom w:val="single" w:sz="4" w:space="0" w:color="auto"/>
              <w:right w:val="nil"/>
            </w:tcBorders>
            <w:vAlign w:val="bottom"/>
            <w:hideMark/>
          </w:tcPr>
          <w:p w:rsidR="00706628" w:rsidRPr="000622CF" w:rsidRDefault="00D30CA3" w:rsidP="00667C96">
            <w:r>
              <w:t>сентября</w:t>
            </w:r>
          </w:p>
        </w:tc>
        <w:tc>
          <w:tcPr>
            <w:tcW w:w="415" w:type="dxa"/>
            <w:tcBorders>
              <w:top w:val="nil"/>
              <w:left w:val="nil"/>
              <w:bottom w:val="single" w:sz="4" w:space="0" w:color="auto"/>
              <w:right w:val="nil"/>
            </w:tcBorders>
            <w:vAlign w:val="bottom"/>
            <w:hideMark/>
          </w:tcPr>
          <w:p w:rsidR="00706628" w:rsidRPr="000622CF" w:rsidRDefault="00D30CA3" w:rsidP="00D30CA3">
            <w:pPr>
              <w:jc w:val="center"/>
            </w:pPr>
            <w:r>
              <w:t>20</w:t>
            </w:r>
          </w:p>
        </w:tc>
        <w:tc>
          <w:tcPr>
            <w:tcW w:w="307" w:type="dxa"/>
            <w:tcBorders>
              <w:top w:val="nil"/>
              <w:left w:val="nil"/>
              <w:bottom w:val="single" w:sz="4" w:space="0" w:color="auto"/>
              <w:right w:val="nil"/>
            </w:tcBorders>
            <w:vAlign w:val="bottom"/>
            <w:hideMark/>
          </w:tcPr>
          <w:p w:rsidR="00706628" w:rsidRPr="000622CF" w:rsidRDefault="004D40D1" w:rsidP="00667C96">
            <w:r>
              <w:t>23</w:t>
            </w:r>
          </w:p>
        </w:tc>
        <w:tc>
          <w:tcPr>
            <w:tcW w:w="1526" w:type="dxa"/>
            <w:tcBorders>
              <w:top w:val="nil"/>
              <w:left w:val="nil"/>
              <w:bottom w:val="single" w:sz="4" w:space="0" w:color="auto"/>
              <w:right w:val="nil"/>
            </w:tcBorders>
            <w:vAlign w:val="bottom"/>
            <w:hideMark/>
          </w:tcPr>
          <w:p w:rsidR="00706628" w:rsidRPr="000622CF" w:rsidRDefault="00706628" w:rsidP="00667C96">
            <w:pPr>
              <w:ind w:left="57"/>
            </w:pPr>
            <w:r w:rsidRPr="000622CF">
              <w:t>г.</w:t>
            </w:r>
          </w:p>
        </w:tc>
        <w:tc>
          <w:tcPr>
            <w:tcW w:w="1340" w:type="dxa"/>
            <w:tcBorders>
              <w:top w:val="nil"/>
              <w:left w:val="nil"/>
              <w:bottom w:val="single" w:sz="4" w:space="0" w:color="auto"/>
              <w:right w:val="nil"/>
            </w:tcBorders>
            <w:vAlign w:val="bottom"/>
            <w:hideMark/>
          </w:tcPr>
          <w:p w:rsidR="00706628" w:rsidRPr="000622CF" w:rsidRDefault="00706628" w:rsidP="00D30CA3">
            <w:pPr>
              <w:jc w:val="center"/>
            </w:pPr>
            <w:r w:rsidRPr="000622CF">
              <w:t xml:space="preserve">       </w:t>
            </w:r>
          </w:p>
        </w:tc>
        <w:tc>
          <w:tcPr>
            <w:tcW w:w="3012" w:type="dxa"/>
            <w:gridSpan w:val="3"/>
            <w:tcBorders>
              <w:top w:val="nil"/>
              <w:left w:val="nil"/>
              <w:bottom w:val="single" w:sz="4" w:space="0" w:color="auto"/>
              <w:right w:val="single" w:sz="4" w:space="0" w:color="auto"/>
            </w:tcBorders>
            <w:vAlign w:val="bottom"/>
          </w:tcPr>
          <w:p w:rsidR="00706628" w:rsidRPr="000622CF" w:rsidRDefault="00706628" w:rsidP="00667C96"/>
        </w:tc>
      </w:tr>
    </w:tbl>
    <w:p w:rsidR="00113BE1" w:rsidRDefault="00113BE1" w:rsidP="002D1869">
      <w:pPr>
        <w:tabs>
          <w:tab w:val="left" w:pos="2895"/>
        </w:tabs>
      </w:pPr>
    </w:p>
    <w:sectPr w:rsidR="00113BE1" w:rsidSect="00602E46">
      <w:headerReference w:type="even" r:id="rId10"/>
      <w:footerReference w:type="default" r:id="rId11"/>
      <w:pgSz w:w="11906" w:h="16838"/>
      <w:pgMar w:top="284" w:right="851" w:bottom="709" w:left="1134" w:header="284" w:footer="284"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350" w:rsidRDefault="009F0350">
      <w:r>
        <w:separator/>
      </w:r>
    </w:p>
  </w:endnote>
  <w:endnote w:type="continuationSeparator" w:id="0">
    <w:p w:rsidR="009F0350" w:rsidRDefault="009F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ourier New">
    <w:altName w:val="Tahoma"/>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Times New Roman"/>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47D" w:rsidRDefault="00711645">
    <w:pPr>
      <w:pStyle w:val="a9"/>
      <w:jc w:val="right"/>
    </w:pPr>
    <w:r>
      <w:fldChar w:fldCharType="begin"/>
    </w:r>
    <w:r>
      <w:instrText>PAGE   \* MERGEFORMAT</w:instrText>
    </w:r>
    <w:r>
      <w:fldChar w:fldCharType="separate"/>
    </w:r>
    <w:r w:rsidR="00DE2478">
      <w:rPr>
        <w:noProof/>
      </w:rPr>
      <w:t>3</w:t>
    </w:r>
    <w:r>
      <w:fldChar w:fldCharType="end"/>
    </w:r>
  </w:p>
  <w:p w:rsidR="0088447D" w:rsidRDefault="009F03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350" w:rsidRDefault="009F0350">
      <w:r>
        <w:separator/>
      </w:r>
    </w:p>
  </w:footnote>
  <w:footnote w:type="continuationSeparator" w:id="0">
    <w:p w:rsidR="009F0350" w:rsidRDefault="009F0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47D" w:rsidRDefault="00711645" w:rsidP="009624F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6364B">
      <w:rPr>
        <w:rStyle w:val="a5"/>
        <w:noProof/>
      </w:rPr>
      <w:t>3</w:t>
    </w:r>
    <w:r>
      <w:rPr>
        <w:rStyle w:val="a5"/>
      </w:rPr>
      <w:fldChar w:fldCharType="end"/>
    </w:r>
  </w:p>
  <w:p w:rsidR="0088447D" w:rsidRDefault="009F035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6096DEFC"/>
    <w:lvl w:ilvl="0">
      <w:start w:val="1"/>
      <w:numFmt w:val="none"/>
      <w:suff w:val="nothing"/>
      <w:lvlText w:val=""/>
      <w:lvlJc w:val="left"/>
      <w:rPr>
        <w:rFonts w:cs="Times New Roman"/>
        <w:spacing w:val="0"/>
      </w:rPr>
    </w:lvl>
    <w:lvl w:ilvl="1">
      <w:start w:val="1"/>
      <w:numFmt w:val="none"/>
      <w:suff w:val="nothing"/>
      <w:lvlText w:val=""/>
      <w:lvlJc w:val="left"/>
      <w:pPr>
        <w:ind w:left="1143"/>
      </w:pPr>
      <w:rPr>
        <w:rFonts w:cs="Times New Roman"/>
        <w:spacing w:val="0"/>
      </w:rPr>
    </w:lvl>
    <w:lvl w:ilvl="2">
      <w:start w:val="1"/>
      <w:numFmt w:val="none"/>
      <w:suff w:val="nothing"/>
      <w:lvlText w:val=""/>
      <w:lvlJc w:val="left"/>
      <w:pPr>
        <w:ind w:left="1863"/>
      </w:pPr>
      <w:rPr>
        <w:rFonts w:cs="Times New Roman"/>
        <w:spacing w:val="0"/>
      </w:rPr>
    </w:lvl>
    <w:lvl w:ilvl="3">
      <w:start w:val="1"/>
      <w:numFmt w:val="none"/>
      <w:suff w:val="nothing"/>
      <w:lvlText w:val=""/>
      <w:lvlJc w:val="left"/>
      <w:pPr>
        <w:ind w:left="2583"/>
      </w:pPr>
      <w:rPr>
        <w:rFonts w:cs="Times New Roman"/>
        <w:spacing w:val="0"/>
      </w:rPr>
    </w:lvl>
    <w:lvl w:ilvl="4">
      <w:start w:val="1"/>
      <w:numFmt w:val="none"/>
      <w:suff w:val="nothing"/>
      <w:lvlText w:val=""/>
      <w:lvlJc w:val="left"/>
      <w:pPr>
        <w:ind w:left="3303"/>
      </w:pPr>
      <w:rPr>
        <w:rFonts w:cs="Times New Roman"/>
        <w:spacing w:val="0"/>
      </w:rPr>
    </w:lvl>
    <w:lvl w:ilvl="5">
      <w:start w:val="1"/>
      <w:numFmt w:val="none"/>
      <w:suff w:val="nothing"/>
      <w:lvlText w:val=""/>
      <w:lvlJc w:val="left"/>
      <w:pPr>
        <w:ind w:left="4023"/>
      </w:pPr>
      <w:rPr>
        <w:rFonts w:cs="Times New Roman"/>
        <w:spacing w:val="0"/>
      </w:rPr>
    </w:lvl>
    <w:lvl w:ilvl="6">
      <w:start w:val="1"/>
      <w:numFmt w:val="none"/>
      <w:suff w:val="nothing"/>
      <w:lvlText w:val=""/>
      <w:lvlJc w:val="left"/>
      <w:pPr>
        <w:ind w:left="4743"/>
      </w:pPr>
      <w:rPr>
        <w:rFonts w:cs="Times New Roman"/>
        <w:spacing w:val="0"/>
      </w:rPr>
    </w:lvl>
    <w:lvl w:ilvl="7">
      <w:start w:val="1"/>
      <w:numFmt w:val="none"/>
      <w:suff w:val="nothing"/>
      <w:lvlText w:val=""/>
      <w:lvlJc w:val="left"/>
      <w:pPr>
        <w:ind w:left="5463"/>
      </w:pPr>
      <w:rPr>
        <w:rFonts w:cs="Times New Roman"/>
        <w:spacing w:val="0"/>
      </w:rPr>
    </w:lvl>
    <w:lvl w:ilvl="8">
      <w:start w:val="1"/>
      <w:numFmt w:val="none"/>
      <w:suff w:val="nothing"/>
      <w:lvlText w:val=""/>
      <w:lvlJc w:val="left"/>
      <w:pPr>
        <w:ind w:left="6183"/>
      </w:pPr>
      <w:rPr>
        <w:rFonts w:cs="Times New Roman"/>
        <w:spacing w:val="0"/>
      </w:rPr>
    </w:lvl>
  </w:abstractNum>
  <w:abstractNum w:abstractNumId="1" w15:restartNumberingAfterBreak="0">
    <w:nsid w:val="0AC0261F"/>
    <w:multiLevelType w:val="hybridMultilevel"/>
    <w:tmpl w:val="3B3275F4"/>
    <w:lvl w:ilvl="0" w:tplc="B3680A7A">
      <w:start w:val="1"/>
      <w:numFmt w:val="decimal"/>
      <w:lvlText w:val="%1."/>
      <w:lvlJc w:val="left"/>
      <w:pPr>
        <w:ind w:left="304" w:hanging="360"/>
      </w:pPr>
      <w:rPr>
        <w:rFonts w:hint="default"/>
        <w:b/>
      </w:rPr>
    </w:lvl>
    <w:lvl w:ilvl="1" w:tplc="04190019" w:tentative="1">
      <w:start w:val="1"/>
      <w:numFmt w:val="lowerLetter"/>
      <w:lvlText w:val="%2."/>
      <w:lvlJc w:val="left"/>
      <w:pPr>
        <w:ind w:left="1024" w:hanging="360"/>
      </w:pPr>
    </w:lvl>
    <w:lvl w:ilvl="2" w:tplc="0419001B" w:tentative="1">
      <w:start w:val="1"/>
      <w:numFmt w:val="lowerRoman"/>
      <w:lvlText w:val="%3."/>
      <w:lvlJc w:val="right"/>
      <w:pPr>
        <w:ind w:left="1744" w:hanging="180"/>
      </w:pPr>
    </w:lvl>
    <w:lvl w:ilvl="3" w:tplc="0419000F" w:tentative="1">
      <w:start w:val="1"/>
      <w:numFmt w:val="decimal"/>
      <w:lvlText w:val="%4."/>
      <w:lvlJc w:val="left"/>
      <w:pPr>
        <w:ind w:left="2464" w:hanging="360"/>
      </w:pPr>
    </w:lvl>
    <w:lvl w:ilvl="4" w:tplc="04190019" w:tentative="1">
      <w:start w:val="1"/>
      <w:numFmt w:val="lowerLetter"/>
      <w:lvlText w:val="%5."/>
      <w:lvlJc w:val="left"/>
      <w:pPr>
        <w:ind w:left="3184" w:hanging="360"/>
      </w:pPr>
    </w:lvl>
    <w:lvl w:ilvl="5" w:tplc="0419001B" w:tentative="1">
      <w:start w:val="1"/>
      <w:numFmt w:val="lowerRoman"/>
      <w:lvlText w:val="%6."/>
      <w:lvlJc w:val="right"/>
      <w:pPr>
        <w:ind w:left="3904" w:hanging="180"/>
      </w:pPr>
    </w:lvl>
    <w:lvl w:ilvl="6" w:tplc="0419000F" w:tentative="1">
      <w:start w:val="1"/>
      <w:numFmt w:val="decimal"/>
      <w:lvlText w:val="%7."/>
      <w:lvlJc w:val="left"/>
      <w:pPr>
        <w:ind w:left="4624" w:hanging="360"/>
      </w:pPr>
    </w:lvl>
    <w:lvl w:ilvl="7" w:tplc="04190019" w:tentative="1">
      <w:start w:val="1"/>
      <w:numFmt w:val="lowerLetter"/>
      <w:lvlText w:val="%8."/>
      <w:lvlJc w:val="left"/>
      <w:pPr>
        <w:ind w:left="5344" w:hanging="360"/>
      </w:pPr>
    </w:lvl>
    <w:lvl w:ilvl="8" w:tplc="0419001B" w:tentative="1">
      <w:start w:val="1"/>
      <w:numFmt w:val="lowerRoman"/>
      <w:lvlText w:val="%9."/>
      <w:lvlJc w:val="right"/>
      <w:pPr>
        <w:ind w:left="6064" w:hanging="180"/>
      </w:pPr>
    </w:lvl>
  </w:abstractNum>
  <w:abstractNum w:abstractNumId="2" w15:restartNumberingAfterBreak="0">
    <w:nsid w:val="12C838BF"/>
    <w:multiLevelType w:val="multilevel"/>
    <w:tmpl w:val="C20843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D353F2"/>
    <w:multiLevelType w:val="multilevel"/>
    <w:tmpl w:val="5DD4F9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7D3BE3"/>
    <w:multiLevelType w:val="multilevel"/>
    <w:tmpl w:val="94D07E10"/>
    <w:lvl w:ilvl="0">
      <w:start w:val="6"/>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FD865A4"/>
    <w:multiLevelType w:val="hybridMultilevel"/>
    <w:tmpl w:val="D3D653C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4A3948"/>
    <w:multiLevelType w:val="multilevel"/>
    <w:tmpl w:val="657014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7705AA"/>
    <w:multiLevelType w:val="hybridMultilevel"/>
    <w:tmpl w:val="3B9AD23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C2591E"/>
    <w:multiLevelType w:val="hybridMultilevel"/>
    <w:tmpl w:val="581EF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AE4006"/>
    <w:multiLevelType w:val="hybridMultilevel"/>
    <w:tmpl w:val="6D1682FC"/>
    <w:lvl w:ilvl="0" w:tplc="82905CEE">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5321D3"/>
    <w:multiLevelType w:val="hybridMultilevel"/>
    <w:tmpl w:val="7E260EAE"/>
    <w:lvl w:ilvl="0" w:tplc="57249A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3D2A3595"/>
    <w:multiLevelType w:val="hybridMultilevel"/>
    <w:tmpl w:val="17940272"/>
    <w:lvl w:ilvl="0" w:tplc="182A6FBC">
      <w:start w:val="1"/>
      <w:numFmt w:val="bullet"/>
      <w:lvlText w:val=""/>
      <w:lvlJc w:val="left"/>
      <w:pPr>
        <w:ind w:left="1145" w:hanging="360"/>
      </w:pPr>
      <w:rPr>
        <w:rFonts w:ascii="Symbol" w:hAnsi="Symbol" w:hint="default"/>
        <w:color w:val="auto"/>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40DF71A4"/>
    <w:multiLevelType w:val="multilevel"/>
    <w:tmpl w:val="C680CF5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7D09A0"/>
    <w:multiLevelType w:val="multilevel"/>
    <w:tmpl w:val="5CE89A90"/>
    <w:lvl w:ilvl="0">
      <w:start w:val="1"/>
      <w:numFmt w:val="decimal"/>
      <w:lvlText w:val="%1."/>
      <w:lvlJc w:val="left"/>
      <w:pPr>
        <w:ind w:left="360" w:hanging="360"/>
      </w:pPr>
      <w:rPr>
        <w:rFonts w:ascii="Times New Roman" w:hAnsi="Times New Roman" w:cs="Times New Roman" w:hint="default"/>
        <w:b/>
        <w:lang w:val="ru-RU"/>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CA562F"/>
    <w:multiLevelType w:val="multilevel"/>
    <w:tmpl w:val="657014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D946BF"/>
    <w:multiLevelType w:val="multilevel"/>
    <w:tmpl w:val="F976A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627FA9"/>
    <w:multiLevelType w:val="multilevel"/>
    <w:tmpl w:val="7C94A102"/>
    <w:lvl w:ilvl="0">
      <w:start w:val="1"/>
      <w:numFmt w:val="bullet"/>
      <w:lvlText w:val=""/>
      <w:lvlJc w:val="left"/>
      <w:rPr>
        <w:rFonts w:ascii="Symbol" w:hAnsi="Symbol" w:hint="default"/>
        <w:spacing w:val="0"/>
      </w:rPr>
    </w:lvl>
    <w:lvl w:ilvl="1">
      <w:start w:val="1"/>
      <w:numFmt w:val="none"/>
      <w:suff w:val="nothing"/>
      <w:lvlText w:val=""/>
      <w:lvlJc w:val="left"/>
      <w:pPr>
        <w:ind w:left="1143"/>
      </w:pPr>
      <w:rPr>
        <w:rFonts w:cs="Times New Roman"/>
        <w:spacing w:val="0"/>
      </w:rPr>
    </w:lvl>
    <w:lvl w:ilvl="2">
      <w:start w:val="1"/>
      <w:numFmt w:val="none"/>
      <w:suff w:val="nothing"/>
      <w:lvlText w:val=""/>
      <w:lvlJc w:val="left"/>
      <w:pPr>
        <w:ind w:left="1863"/>
      </w:pPr>
      <w:rPr>
        <w:rFonts w:cs="Times New Roman"/>
        <w:spacing w:val="0"/>
      </w:rPr>
    </w:lvl>
    <w:lvl w:ilvl="3">
      <w:start w:val="1"/>
      <w:numFmt w:val="none"/>
      <w:suff w:val="nothing"/>
      <w:lvlText w:val=""/>
      <w:lvlJc w:val="left"/>
      <w:pPr>
        <w:ind w:left="2583"/>
      </w:pPr>
      <w:rPr>
        <w:rFonts w:cs="Times New Roman"/>
        <w:spacing w:val="0"/>
      </w:rPr>
    </w:lvl>
    <w:lvl w:ilvl="4">
      <w:start w:val="1"/>
      <w:numFmt w:val="none"/>
      <w:suff w:val="nothing"/>
      <w:lvlText w:val=""/>
      <w:lvlJc w:val="left"/>
      <w:pPr>
        <w:ind w:left="3303"/>
      </w:pPr>
      <w:rPr>
        <w:rFonts w:cs="Times New Roman"/>
        <w:spacing w:val="0"/>
      </w:rPr>
    </w:lvl>
    <w:lvl w:ilvl="5">
      <w:start w:val="1"/>
      <w:numFmt w:val="none"/>
      <w:suff w:val="nothing"/>
      <w:lvlText w:val=""/>
      <w:lvlJc w:val="left"/>
      <w:pPr>
        <w:ind w:left="4023"/>
      </w:pPr>
      <w:rPr>
        <w:rFonts w:cs="Times New Roman"/>
        <w:spacing w:val="0"/>
      </w:rPr>
    </w:lvl>
    <w:lvl w:ilvl="6">
      <w:start w:val="1"/>
      <w:numFmt w:val="none"/>
      <w:suff w:val="nothing"/>
      <w:lvlText w:val=""/>
      <w:lvlJc w:val="left"/>
      <w:pPr>
        <w:ind w:left="4743"/>
      </w:pPr>
      <w:rPr>
        <w:rFonts w:cs="Times New Roman"/>
        <w:spacing w:val="0"/>
      </w:rPr>
    </w:lvl>
    <w:lvl w:ilvl="7">
      <w:start w:val="1"/>
      <w:numFmt w:val="none"/>
      <w:suff w:val="nothing"/>
      <w:lvlText w:val=""/>
      <w:lvlJc w:val="left"/>
      <w:pPr>
        <w:ind w:left="5463"/>
      </w:pPr>
      <w:rPr>
        <w:rFonts w:cs="Times New Roman"/>
        <w:spacing w:val="0"/>
      </w:rPr>
    </w:lvl>
    <w:lvl w:ilvl="8">
      <w:start w:val="1"/>
      <w:numFmt w:val="none"/>
      <w:suff w:val="nothing"/>
      <w:lvlText w:val=""/>
      <w:lvlJc w:val="left"/>
      <w:pPr>
        <w:ind w:left="6183"/>
      </w:pPr>
      <w:rPr>
        <w:rFonts w:cs="Times New Roman"/>
        <w:spacing w:val="0"/>
      </w:rPr>
    </w:lvl>
  </w:abstractNum>
  <w:abstractNum w:abstractNumId="17" w15:restartNumberingAfterBreak="0">
    <w:nsid w:val="577D2D96"/>
    <w:multiLevelType w:val="hybridMultilevel"/>
    <w:tmpl w:val="A71209C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67680C"/>
    <w:multiLevelType w:val="hybridMultilevel"/>
    <w:tmpl w:val="4C2C858A"/>
    <w:lvl w:ilvl="0" w:tplc="B0183F5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36D0700"/>
    <w:multiLevelType w:val="multilevel"/>
    <w:tmpl w:val="1830320E"/>
    <w:lvl w:ilvl="0">
      <w:start w:val="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D936CE"/>
    <w:multiLevelType w:val="multilevel"/>
    <w:tmpl w:val="657014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C5705BA"/>
    <w:multiLevelType w:val="multilevel"/>
    <w:tmpl w:val="DA4075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1EB1920"/>
    <w:multiLevelType w:val="multilevel"/>
    <w:tmpl w:val="702A861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F4A11EC"/>
    <w:multiLevelType w:val="hybridMultilevel"/>
    <w:tmpl w:val="5AA4CCEE"/>
    <w:lvl w:ilvl="0" w:tplc="5DFC008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4" w15:restartNumberingAfterBreak="0">
    <w:nsid w:val="7FE7194E"/>
    <w:multiLevelType w:val="hybridMultilevel"/>
    <w:tmpl w:val="037281EE"/>
    <w:lvl w:ilvl="0" w:tplc="D506EC14">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num w:numId="1">
    <w:abstractNumId w:val="5"/>
  </w:num>
  <w:num w:numId="2">
    <w:abstractNumId w:val="22"/>
  </w:num>
  <w:num w:numId="3">
    <w:abstractNumId w:val="10"/>
  </w:num>
  <w:num w:numId="4">
    <w:abstractNumId w:val="8"/>
  </w:num>
  <w:num w:numId="5">
    <w:abstractNumId w:val="20"/>
  </w:num>
  <w:num w:numId="6">
    <w:abstractNumId w:val="19"/>
  </w:num>
  <w:num w:numId="7">
    <w:abstractNumId w:val="7"/>
  </w:num>
  <w:num w:numId="8">
    <w:abstractNumId w:val="4"/>
  </w:num>
  <w:num w:numId="9">
    <w:abstractNumId w:val="3"/>
  </w:num>
  <w:num w:numId="10">
    <w:abstractNumId w:val="6"/>
  </w:num>
  <w:num w:numId="11">
    <w:abstractNumId w:val="14"/>
  </w:num>
  <w:num w:numId="12">
    <w:abstractNumId w:val="1"/>
  </w:num>
  <w:num w:numId="13">
    <w:abstractNumId w:val="0"/>
  </w:num>
  <w:num w:numId="14">
    <w:abstractNumId w:val="13"/>
  </w:num>
  <w:num w:numId="15">
    <w:abstractNumId w:val="17"/>
  </w:num>
  <w:num w:numId="16">
    <w:abstractNumId w:val="12"/>
  </w:num>
  <w:num w:numId="17">
    <w:abstractNumId w:val="21"/>
  </w:num>
  <w:num w:numId="18">
    <w:abstractNumId w:val="2"/>
  </w:num>
  <w:num w:numId="19">
    <w:abstractNumId w:val="15"/>
  </w:num>
  <w:num w:numId="20">
    <w:abstractNumId w:val="18"/>
  </w:num>
  <w:num w:numId="21">
    <w:abstractNumId w:val="24"/>
  </w:num>
  <w:num w:numId="22">
    <w:abstractNumId w:val="9"/>
  </w:num>
  <w:num w:numId="23">
    <w:abstractNumId w:val="16"/>
  </w:num>
  <w:num w:numId="24">
    <w:abstractNumId w:val="2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256"/>
    <w:rsid w:val="00003401"/>
    <w:rsid w:val="00005D0D"/>
    <w:rsid w:val="0001265E"/>
    <w:rsid w:val="000338F0"/>
    <w:rsid w:val="00050DF5"/>
    <w:rsid w:val="00051321"/>
    <w:rsid w:val="000622CF"/>
    <w:rsid w:val="000645F9"/>
    <w:rsid w:val="00070097"/>
    <w:rsid w:val="00070C2B"/>
    <w:rsid w:val="00071C59"/>
    <w:rsid w:val="00081EA6"/>
    <w:rsid w:val="00083EF1"/>
    <w:rsid w:val="00090D5B"/>
    <w:rsid w:val="00091CA1"/>
    <w:rsid w:val="000A0FB3"/>
    <w:rsid w:val="000A6944"/>
    <w:rsid w:val="000A70B8"/>
    <w:rsid w:val="000A7EFB"/>
    <w:rsid w:val="000B4336"/>
    <w:rsid w:val="000B68BA"/>
    <w:rsid w:val="000C0BE9"/>
    <w:rsid w:val="000C146A"/>
    <w:rsid w:val="000C5AB0"/>
    <w:rsid w:val="000D1FF8"/>
    <w:rsid w:val="000D3DBD"/>
    <w:rsid w:val="000D7DD9"/>
    <w:rsid w:val="000E5D25"/>
    <w:rsid w:val="000F687B"/>
    <w:rsid w:val="0010390E"/>
    <w:rsid w:val="00104DFC"/>
    <w:rsid w:val="001053E4"/>
    <w:rsid w:val="00113BE1"/>
    <w:rsid w:val="00116ED3"/>
    <w:rsid w:val="0011758E"/>
    <w:rsid w:val="00120626"/>
    <w:rsid w:val="001268D5"/>
    <w:rsid w:val="0013291E"/>
    <w:rsid w:val="00135C76"/>
    <w:rsid w:val="00137A99"/>
    <w:rsid w:val="00141059"/>
    <w:rsid w:val="00144C56"/>
    <w:rsid w:val="001460A8"/>
    <w:rsid w:val="00155DA2"/>
    <w:rsid w:val="00160BD6"/>
    <w:rsid w:val="0016385F"/>
    <w:rsid w:val="0017107E"/>
    <w:rsid w:val="0017245B"/>
    <w:rsid w:val="00182075"/>
    <w:rsid w:val="00183B0B"/>
    <w:rsid w:val="00193102"/>
    <w:rsid w:val="00193AB8"/>
    <w:rsid w:val="00196D18"/>
    <w:rsid w:val="001A75DA"/>
    <w:rsid w:val="001B756F"/>
    <w:rsid w:val="001C5788"/>
    <w:rsid w:val="001C6EAF"/>
    <w:rsid w:val="001D0D66"/>
    <w:rsid w:val="001D15CD"/>
    <w:rsid w:val="001E1295"/>
    <w:rsid w:val="001E3675"/>
    <w:rsid w:val="002009A5"/>
    <w:rsid w:val="00203A68"/>
    <w:rsid w:val="0020423F"/>
    <w:rsid w:val="00214A2A"/>
    <w:rsid w:val="00216FB3"/>
    <w:rsid w:val="002435B0"/>
    <w:rsid w:val="002534B4"/>
    <w:rsid w:val="00254607"/>
    <w:rsid w:val="00254DAD"/>
    <w:rsid w:val="00267D38"/>
    <w:rsid w:val="00270CB7"/>
    <w:rsid w:val="00276DBE"/>
    <w:rsid w:val="00293FC8"/>
    <w:rsid w:val="00296E9E"/>
    <w:rsid w:val="002B18EA"/>
    <w:rsid w:val="002B3C72"/>
    <w:rsid w:val="002B67A7"/>
    <w:rsid w:val="002C7E34"/>
    <w:rsid w:val="002D1869"/>
    <w:rsid w:val="002D63C4"/>
    <w:rsid w:val="002E21ED"/>
    <w:rsid w:val="002F0627"/>
    <w:rsid w:val="002F46B8"/>
    <w:rsid w:val="003073E6"/>
    <w:rsid w:val="00310DB3"/>
    <w:rsid w:val="003129E1"/>
    <w:rsid w:val="00312BC2"/>
    <w:rsid w:val="00315909"/>
    <w:rsid w:val="003176E9"/>
    <w:rsid w:val="00322260"/>
    <w:rsid w:val="00326D66"/>
    <w:rsid w:val="003309C4"/>
    <w:rsid w:val="00330CFE"/>
    <w:rsid w:val="003332AB"/>
    <w:rsid w:val="00334330"/>
    <w:rsid w:val="00336DD3"/>
    <w:rsid w:val="00354BFE"/>
    <w:rsid w:val="00354F41"/>
    <w:rsid w:val="0035644C"/>
    <w:rsid w:val="00357B6C"/>
    <w:rsid w:val="003632D9"/>
    <w:rsid w:val="0036341C"/>
    <w:rsid w:val="003668A7"/>
    <w:rsid w:val="003703F1"/>
    <w:rsid w:val="00375CD7"/>
    <w:rsid w:val="0038058C"/>
    <w:rsid w:val="00397181"/>
    <w:rsid w:val="003A1B2B"/>
    <w:rsid w:val="003A2441"/>
    <w:rsid w:val="003B0305"/>
    <w:rsid w:val="003B431B"/>
    <w:rsid w:val="003B7E95"/>
    <w:rsid w:val="003C5255"/>
    <w:rsid w:val="003C7043"/>
    <w:rsid w:val="003D1B37"/>
    <w:rsid w:val="003D1E46"/>
    <w:rsid w:val="003D51F8"/>
    <w:rsid w:val="003D625E"/>
    <w:rsid w:val="003D7C0D"/>
    <w:rsid w:val="003E038C"/>
    <w:rsid w:val="003E03D1"/>
    <w:rsid w:val="003F4A67"/>
    <w:rsid w:val="003F6A38"/>
    <w:rsid w:val="00406C24"/>
    <w:rsid w:val="00411BC4"/>
    <w:rsid w:val="004127E1"/>
    <w:rsid w:val="00425187"/>
    <w:rsid w:val="004252AD"/>
    <w:rsid w:val="004419A2"/>
    <w:rsid w:val="00447618"/>
    <w:rsid w:val="004523CF"/>
    <w:rsid w:val="00457116"/>
    <w:rsid w:val="00461C98"/>
    <w:rsid w:val="00487835"/>
    <w:rsid w:val="00490C15"/>
    <w:rsid w:val="0049328D"/>
    <w:rsid w:val="004954F6"/>
    <w:rsid w:val="004A107F"/>
    <w:rsid w:val="004A1B04"/>
    <w:rsid w:val="004A3C11"/>
    <w:rsid w:val="004B15B3"/>
    <w:rsid w:val="004C7F40"/>
    <w:rsid w:val="004D12B0"/>
    <w:rsid w:val="004D2D40"/>
    <w:rsid w:val="004D40D1"/>
    <w:rsid w:val="004E1FCE"/>
    <w:rsid w:val="004F0DF8"/>
    <w:rsid w:val="004F34E1"/>
    <w:rsid w:val="004F3FDE"/>
    <w:rsid w:val="004F407A"/>
    <w:rsid w:val="004F492F"/>
    <w:rsid w:val="005104B9"/>
    <w:rsid w:val="00510B8B"/>
    <w:rsid w:val="005172A4"/>
    <w:rsid w:val="00522AEC"/>
    <w:rsid w:val="0052328D"/>
    <w:rsid w:val="00523376"/>
    <w:rsid w:val="00537FED"/>
    <w:rsid w:val="00551309"/>
    <w:rsid w:val="0055454E"/>
    <w:rsid w:val="00571BBB"/>
    <w:rsid w:val="00582844"/>
    <w:rsid w:val="00583954"/>
    <w:rsid w:val="005862EA"/>
    <w:rsid w:val="0059717C"/>
    <w:rsid w:val="005A1BD0"/>
    <w:rsid w:val="005A2F40"/>
    <w:rsid w:val="005B52F3"/>
    <w:rsid w:val="005C2D58"/>
    <w:rsid w:val="005D28F3"/>
    <w:rsid w:val="005D558D"/>
    <w:rsid w:val="005D6FD9"/>
    <w:rsid w:val="005E39B9"/>
    <w:rsid w:val="005E51D1"/>
    <w:rsid w:val="00602E46"/>
    <w:rsid w:val="006052AF"/>
    <w:rsid w:val="0060668A"/>
    <w:rsid w:val="00606DFD"/>
    <w:rsid w:val="0061295D"/>
    <w:rsid w:val="00613D22"/>
    <w:rsid w:val="00617080"/>
    <w:rsid w:val="00617800"/>
    <w:rsid w:val="0062619B"/>
    <w:rsid w:val="0062692F"/>
    <w:rsid w:val="00631F75"/>
    <w:rsid w:val="00635385"/>
    <w:rsid w:val="00637CDD"/>
    <w:rsid w:val="00640EC2"/>
    <w:rsid w:val="00653AEE"/>
    <w:rsid w:val="0065410A"/>
    <w:rsid w:val="0066420D"/>
    <w:rsid w:val="00672E82"/>
    <w:rsid w:val="00673A7D"/>
    <w:rsid w:val="006A3C0B"/>
    <w:rsid w:val="006B103A"/>
    <w:rsid w:val="006E178B"/>
    <w:rsid w:val="006F10E2"/>
    <w:rsid w:val="006F65E5"/>
    <w:rsid w:val="00701E8D"/>
    <w:rsid w:val="007030BF"/>
    <w:rsid w:val="00703B68"/>
    <w:rsid w:val="00703BBE"/>
    <w:rsid w:val="00706628"/>
    <w:rsid w:val="007070E6"/>
    <w:rsid w:val="00711645"/>
    <w:rsid w:val="00712D88"/>
    <w:rsid w:val="00713852"/>
    <w:rsid w:val="0071392A"/>
    <w:rsid w:val="00713B20"/>
    <w:rsid w:val="00716610"/>
    <w:rsid w:val="00725CBA"/>
    <w:rsid w:val="00727442"/>
    <w:rsid w:val="00730B32"/>
    <w:rsid w:val="00735C8E"/>
    <w:rsid w:val="007378C4"/>
    <w:rsid w:val="00745416"/>
    <w:rsid w:val="00746799"/>
    <w:rsid w:val="00772F78"/>
    <w:rsid w:val="00775A68"/>
    <w:rsid w:val="00775E2D"/>
    <w:rsid w:val="0078314E"/>
    <w:rsid w:val="00787114"/>
    <w:rsid w:val="007876AF"/>
    <w:rsid w:val="0079446B"/>
    <w:rsid w:val="00797F0D"/>
    <w:rsid w:val="007A1028"/>
    <w:rsid w:val="007A26AE"/>
    <w:rsid w:val="007A399F"/>
    <w:rsid w:val="007A5EC7"/>
    <w:rsid w:val="007C0EE9"/>
    <w:rsid w:val="007C6206"/>
    <w:rsid w:val="007D469B"/>
    <w:rsid w:val="007F3A90"/>
    <w:rsid w:val="007F4382"/>
    <w:rsid w:val="007F74E5"/>
    <w:rsid w:val="007F7C70"/>
    <w:rsid w:val="00802AC5"/>
    <w:rsid w:val="00813425"/>
    <w:rsid w:val="00817C9B"/>
    <w:rsid w:val="00820006"/>
    <w:rsid w:val="008352D1"/>
    <w:rsid w:val="00855BEA"/>
    <w:rsid w:val="00856C64"/>
    <w:rsid w:val="00860976"/>
    <w:rsid w:val="008638D1"/>
    <w:rsid w:val="00870353"/>
    <w:rsid w:val="00870C3C"/>
    <w:rsid w:val="00871DEF"/>
    <w:rsid w:val="00876E0E"/>
    <w:rsid w:val="00884AC5"/>
    <w:rsid w:val="008868D8"/>
    <w:rsid w:val="008934B3"/>
    <w:rsid w:val="0089501E"/>
    <w:rsid w:val="008A063A"/>
    <w:rsid w:val="008A3B15"/>
    <w:rsid w:val="008A5757"/>
    <w:rsid w:val="008C2988"/>
    <w:rsid w:val="008C3FAC"/>
    <w:rsid w:val="008C6CA7"/>
    <w:rsid w:val="008C7632"/>
    <w:rsid w:val="008D3295"/>
    <w:rsid w:val="008D4389"/>
    <w:rsid w:val="008D7090"/>
    <w:rsid w:val="008D7AA9"/>
    <w:rsid w:val="008E37E8"/>
    <w:rsid w:val="008E5A11"/>
    <w:rsid w:val="009166DE"/>
    <w:rsid w:val="009177AB"/>
    <w:rsid w:val="00917860"/>
    <w:rsid w:val="009212D8"/>
    <w:rsid w:val="009236B3"/>
    <w:rsid w:val="00926D6D"/>
    <w:rsid w:val="009313B8"/>
    <w:rsid w:val="00933BEE"/>
    <w:rsid w:val="009349A9"/>
    <w:rsid w:val="00934C6A"/>
    <w:rsid w:val="00937169"/>
    <w:rsid w:val="00944FFD"/>
    <w:rsid w:val="00947D11"/>
    <w:rsid w:val="00954573"/>
    <w:rsid w:val="009555E1"/>
    <w:rsid w:val="00955AD0"/>
    <w:rsid w:val="00955CD7"/>
    <w:rsid w:val="009602FF"/>
    <w:rsid w:val="00963F09"/>
    <w:rsid w:val="00970E66"/>
    <w:rsid w:val="00974A1B"/>
    <w:rsid w:val="0097501A"/>
    <w:rsid w:val="00977D62"/>
    <w:rsid w:val="009807ED"/>
    <w:rsid w:val="00980C37"/>
    <w:rsid w:val="00984DFF"/>
    <w:rsid w:val="00991D42"/>
    <w:rsid w:val="00994D50"/>
    <w:rsid w:val="00995AB2"/>
    <w:rsid w:val="009B5F7D"/>
    <w:rsid w:val="009C2F1C"/>
    <w:rsid w:val="009D014A"/>
    <w:rsid w:val="009E4256"/>
    <w:rsid w:val="009E659E"/>
    <w:rsid w:val="009F0350"/>
    <w:rsid w:val="009F1B9E"/>
    <w:rsid w:val="009F20E5"/>
    <w:rsid w:val="009F552C"/>
    <w:rsid w:val="009F59BE"/>
    <w:rsid w:val="00A03E86"/>
    <w:rsid w:val="00A121A4"/>
    <w:rsid w:val="00A15617"/>
    <w:rsid w:val="00A229A3"/>
    <w:rsid w:val="00A2592C"/>
    <w:rsid w:val="00A3728D"/>
    <w:rsid w:val="00A451F3"/>
    <w:rsid w:val="00A50285"/>
    <w:rsid w:val="00A514CB"/>
    <w:rsid w:val="00A51F80"/>
    <w:rsid w:val="00A52CA9"/>
    <w:rsid w:val="00A61498"/>
    <w:rsid w:val="00A70479"/>
    <w:rsid w:val="00A71708"/>
    <w:rsid w:val="00A80FF2"/>
    <w:rsid w:val="00A92E98"/>
    <w:rsid w:val="00A94914"/>
    <w:rsid w:val="00AA23D2"/>
    <w:rsid w:val="00AA7BAB"/>
    <w:rsid w:val="00AB2810"/>
    <w:rsid w:val="00AB639E"/>
    <w:rsid w:val="00AD426F"/>
    <w:rsid w:val="00AD5F01"/>
    <w:rsid w:val="00AD766B"/>
    <w:rsid w:val="00AE0054"/>
    <w:rsid w:val="00AF193B"/>
    <w:rsid w:val="00AF1AF0"/>
    <w:rsid w:val="00AF3059"/>
    <w:rsid w:val="00AF5387"/>
    <w:rsid w:val="00B01A51"/>
    <w:rsid w:val="00B032F0"/>
    <w:rsid w:val="00B11220"/>
    <w:rsid w:val="00B22D44"/>
    <w:rsid w:val="00B27367"/>
    <w:rsid w:val="00B27721"/>
    <w:rsid w:val="00B465D8"/>
    <w:rsid w:val="00B53900"/>
    <w:rsid w:val="00B618EC"/>
    <w:rsid w:val="00B61A88"/>
    <w:rsid w:val="00B67FE3"/>
    <w:rsid w:val="00B80C20"/>
    <w:rsid w:val="00B80D6C"/>
    <w:rsid w:val="00B8611B"/>
    <w:rsid w:val="00B906BE"/>
    <w:rsid w:val="00B9246A"/>
    <w:rsid w:val="00BA3C6A"/>
    <w:rsid w:val="00BB0CF1"/>
    <w:rsid w:val="00BB258C"/>
    <w:rsid w:val="00BB3153"/>
    <w:rsid w:val="00BB70F1"/>
    <w:rsid w:val="00BC1DB6"/>
    <w:rsid w:val="00BD6B77"/>
    <w:rsid w:val="00BE20C7"/>
    <w:rsid w:val="00BE5148"/>
    <w:rsid w:val="00BE64CA"/>
    <w:rsid w:val="00BE6918"/>
    <w:rsid w:val="00BE7D55"/>
    <w:rsid w:val="00BF164A"/>
    <w:rsid w:val="00BF27C8"/>
    <w:rsid w:val="00BF3B74"/>
    <w:rsid w:val="00C026CB"/>
    <w:rsid w:val="00C03546"/>
    <w:rsid w:val="00C063BE"/>
    <w:rsid w:val="00C07274"/>
    <w:rsid w:val="00C145BB"/>
    <w:rsid w:val="00C21F5F"/>
    <w:rsid w:val="00C22D4A"/>
    <w:rsid w:val="00C26BDF"/>
    <w:rsid w:val="00C30290"/>
    <w:rsid w:val="00C37C1B"/>
    <w:rsid w:val="00C410E2"/>
    <w:rsid w:val="00C6165A"/>
    <w:rsid w:val="00C6364B"/>
    <w:rsid w:val="00C64B59"/>
    <w:rsid w:val="00C7483C"/>
    <w:rsid w:val="00C74C33"/>
    <w:rsid w:val="00C80822"/>
    <w:rsid w:val="00C83DC3"/>
    <w:rsid w:val="00C87691"/>
    <w:rsid w:val="00C918CC"/>
    <w:rsid w:val="00C93E89"/>
    <w:rsid w:val="00C9483E"/>
    <w:rsid w:val="00CB099A"/>
    <w:rsid w:val="00CB6716"/>
    <w:rsid w:val="00CC526E"/>
    <w:rsid w:val="00CD0ABA"/>
    <w:rsid w:val="00CD66D1"/>
    <w:rsid w:val="00CE1554"/>
    <w:rsid w:val="00CE1D80"/>
    <w:rsid w:val="00CE207B"/>
    <w:rsid w:val="00CE25EE"/>
    <w:rsid w:val="00CE7BF6"/>
    <w:rsid w:val="00CF6D0B"/>
    <w:rsid w:val="00D001BE"/>
    <w:rsid w:val="00D00586"/>
    <w:rsid w:val="00D053D3"/>
    <w:rsid w:val="00D10FC6"/>
    <w:rsid w:val="00D25D2E"/>
    <w:rsid w:val="00D26C91"/>
    <w:rsid w:val="00D30CA3"/>
    <w:rsid w:val="00D37264"/>
    <w:rsid w:val="00D44EB6"/>
    <w:rsid w:val="00D4563C"/>
    <w:rsid w:val="00D46A1D"/>
    <w:rsid w:val="00D47713"/>
    <w:rsid w:val="00D54FE9"/>
    <w:rsid w:val="00D56BA8"/>
    <w:rsid w:val="00D57182"/>
    <w:rsid w:val="00D614CB"/>
    <w:rsid w:val="00D62B47"/>
    <w:rsid w:val="00D62D3B"/>
    <w:rsid w:val="00D64126"/>
    <w:rsid w:val="00D73342"/>
    <w:rsid w:val="00D762C9"/>
    <w:rsid w:val="00D76414"/>
    <w:rsid w:val="00D853E5"/>
    <w:rsid w:val="00D933AB"/>
    <w:rsid w:val="00D93E2C"/>
    <w:rsid w:val="00DA28C9"/>
    <w:rsid w:val="00DA7D8A"/>
    <w:rsid w:val="00DC0807"/>
    <w:rsid w:val="00DC2906"/>
    <w:rsid w:val="00DC6122"/>
    <w:rsid w:val="00DC620A"/>
    <w:rsid w:val="00DD557A"/>
    <w:rsid w:val="00DE2478"/>
    <w:rsid w:val="00DE51EC"/>
    <w:rsid w:val="00DF7E3B"/>
    <w:rsid w:val="00E00969"/>
    <w:rsid w:val="00E00C59"/>
    <w:rsid w:val="00E02EA9"/>
    <w:rsid w:val="00E03FA7"/>
    <w:rsid w:val="00E168AC"/>
    <w:rsid w:val="00E2403A"/>
    <w:rsid w:val="00E25E7D"/>
    <w:rsid w:val="00E31031"/>
    <w:rsid w:val="00E3307E"/>
    <w:rsid w:val="00E33CD3"/>
    <w:rsid w:val="00E34217"/>
    <w:rsid w:val="00E41E0D"/>
    <w:rsid w:val="00E46AB2"/>
    <w:rsid w:val="00E478C0"/>
    <w:rsid w:val="00E52A0D"/>
    <w:rsid w:val="00E55221"/>
    <w:rsid w:val="00E6054F"/>
    <w:rsid w:val="00E67B49"/>
    <w:rsid w:val="00E72C43"/>
    <w:rsid w:val="00E73498"/>
    <w:rsid w:val="00E75CC4"/>
    <w:rsid w:val="00E7669B"/>
    <w:rsid w:val="00E77FB8"/>
    <w:rsid w:val="00E81947"/>
    <w:rsid w:val="00E91993"/>
    <w:rsid w:val="00E926D9"/>
    <w:rsid w:val="00EA35F9"/>
    <w:rsid w:val="00EA41C7"/>
    <w:rsid w:val="00EB3E1B"/>
    <w:rsid w:val="00EB3E6C"/>
    <w:rsid w:val="00EB50AD"/>
    <w:rsid w:val="00EB7CDA"/>
    <w:rsid w:val="00EC161C"/>
    <w:rsid w:val="00EC1A2F"/>
    <w:rsid w:val="00EC2681"/>
    <w:rsid w:val="00ED19FA"/>
    <w:rsid w:val="00ED23A1"/>
    <w:rsid w:val="00ED65AA"/>
    <w:rsid w:val="00ED7B0B"/>
    <w:rsid w:val="00EE272A"/>
    <w:rsid w:val="00EF45A5"/>
    <w:rsid w:val="00F02F66"/>
    <w:rsid w:val="00F04A2D"/>
    <w:rsid w:val="00F11A66"/>
    <w:rsid w:val="00F12CF0"/>
    <w:rsid w:val="00F140B5"/>
    <w:rsid w:val="00F17E15"/>
    <w:rsid w:val="00F205C4"/>
    <w:rsid w:val="00F242D6"/>
    <w:rsid w:val="00F319C3"/>
    <w:rsid w:val="00F32CA9"/>
    <w:rsid w:val="00F365FB"/>
    <w:rsid w:val="00F477B7"/>
    <w:rsid w:val="00F50CA7"/>
    <w:rsid w:val="00F55844"/>
    <w:rsid w:val="00F56AC0"/>
    <w:rsid w:val="00F671C7"/>
    <w:rsid w:val="00F71AAA"/>
    <w:rsid w:val="00F74168"/>
    <w:rsid w:val="00F7481F"/>
    <w:rsid w:val="00F766D1"/>
    <w:rsid w:val="00F9535F"/>
    <w:rsid w:val="00FB157C"/>
    <w:rsid w:val="00FB1C32"/>
    <w:rsid w:val="00FC16AD"/>
    <w:rsid w:val="00FD328E"/>
    <w:rsid w:val="00FD3EBB"/>
    <w:rsid w:val="00FE201C"/>
    <w:rsid w:val="00FF31C5"/>
    <w:rsid w:val="00FF6487"/>
    <w:rsid w:val="00FF6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B0E684-0807-4007-9EE9-B10C3693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03A"/>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6628"/>
    <w:pPr>
      <w:tabs>
        <w:tab w:val="center" w:pos="4153"/>
        <w:tab w:val="right" w:pos="8306"/>
      </w:tabs>
    </w:pPr>
  </w:style>
  <w:style w:type="character" w:customStyle="1" w:styleId="a4">
    <w:name w:val="Верхний колонтитул Знак"/>
    <w:basedOn w:val="a0"/>
    <w:link w:val="a3"/>
    <w:rsid w:val="00706628"/>
    <w:rPr>
      <w:rFonts w:ascii="Times New Roman" w:eastAsia="Times New Roman" w:hAnsi="Times New Roman" w:cs="Times New Roman"/>
      <w:sz w:val="20"/>
      <w:szCs w:val="20"/>
      <w:lang w:eastAsia="ru-RU"/>
    </w:rPr>
  </w:style>
  <w:style w:type="character" w:styleId="a5">
    <w:name w:val="page number"/>
    <w:basedOn w:val="a0"/>
    <w:rsid w:val="00706628"/>
  </w:style>
  <w:style w:type="character" w:styleId="a6">
    <w:name w:val="Hyperlink"/>
    <w:rsid w:val="00706628"/>
    <w:rPr>
      <w:color w:val="0000FF"/>
      <w:u w:val="single"/>
    </w:rPr>
  </w:style>
  <w:style w:type="paragraph" w:styleId="a7">
    <w:name w:val="Body Text"/>
    <w:basedOn w:val="a"/>
    <w:link w:val="a8"/>
    <w:rsid w:val="00706628"/>
    <w:pPr>
      <w:spacing w:after="120"/>
    </w:pPr>
  </w:style>
  <w:style w:type="character" w:customStyle="1" w:styleId="a8">
    <w:name w:val="Основной текст Знак"/>
    <w:basedOn w:val="a0"/>
    <w:link w:val="a7"/>
    <w:rsid w:val="00706628"/>
    <w:rPr>
      <w:rFonts w:ascii="Times New Roman" w:eastAsia="Times New Roman" w:hAnsi="Times New Roman" w:cs="Times New Roman"/>
      <w:sz w:val="20"/>
      <w:szCs w:val="20"/>
      <w:lang w:eastAsia="ru-RU"/>
    </w:rPr>
  </w:style>
  <w:style w:type="paragraph" w:styleId="a9">
    <w:name w:val="footer"/>
    <w:basedOn w:val="a"/>
    <w:link w:val="aa"/>
    <w:uiPriority w:val="99"/>
    <w:rsid w:val="00706628"/>
    <w:pPr>
      <w:tabs>
        <w:tab w:val="center" w:pos="4677"/>
        <w:tab w:val="right" w:pos="9355"/>
      </w:tabs>
    </w:pPr>
  </w:style>
  <w:style w:type="character" w:customStyle="1" w:styleId="aa">
    <w:name w:val="Нижний колонтитул Знак"/>
    <w:basedOn w:val="a0"/>
    <w:link w:val="a9"/>
    <w:uiPriority w:val="99"/>
    <w:rsid w:val="00706628"/>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711645"/>
    <w:rPr>
      <w:rFonts w:ascii="Segoe UI" w:hAnsi="Segoe UI" w:cs="Segoe UI"/>
      <w:sz w:val="18"/>
      <w:szCs w:val="18"/>
    </w:rPr>
  </w:style>
  <w:style w:type="character" w:customStyle="1" w:styleId="ac">
    <w:name w:val="Текст выноски Знак"/>
    <w:basedOn w:val="a0"/>
    <w:link w:val="ab"/>
    <w:uiPriority w:val="99"/>
    <w:semiHidden/>
    <w:rsid w:val="00711645"/>
    <w:rPr>
      <w:rFonts w:ascii="Segoe UI" w:eastAsia="Times New Roman" w:hAnsi="Segoe UI" w:cs="Segoe UI"/>
      <w:sz w:val="18"/>
      <w:szCs w:val="18"/>
      <w:lang w:eastAsia="ru-RU"/>
    </w:rPr>
  </w:style>
  <w:style w:type="paragraph" w:styleId="ad">
    <w:name w:val="List Paragraph"/>
    <w:basedOn w:val="a"/>
    <w:link w:val="ae"/>
    <w:uiPriority w:val="34"/>
    <w:qFormat/>
    <w:rsid w:val="000A0FB3"/>
    <w:pPr>
      <w:autoSpaceDE/>
      <w:autoSpaceDN/>
      <w:spacing w:after="200" w:line="276" w:lineRule="auto"/>
      <w:ind w:left="720"/>
      <w:contextualSpacing/>
    </w:pPr>
    <w:rPr>
      <w:rFonts w:ascii="Calibri" w:eastAsia="Calibri" w:hAnsi="Calibri"/>
      <w:sz w:val="22"/>
      <w:szCs w:val="22"/>
      <w:lang w:val="x-none" w:eastAsia="en-US"/>
    </w:rPr>
  </w:style>
  <w:style w:type="character" w:customStyle="1" w:styleId="ae">
    <w:name w:val="Абзац списка Знак"/>
    <w:link w:val="ad"/>
    <w:uiPriority w:val="34"/>
    <w:locked/>
    <w:rsid w:val="000A0FB3"/>
    <w:rPr>
      <w:rFonts w:ascii="Calibri" w:eastAsia="Calibri" w:hAnsi="Calibri" w:cs="Times New Roman"/>
      <w:lang w:val="x-none"/>
    </w:rPr>
  </w:style>
  <w:style w:type="paragraph" w:styleId="af">
    <w:name w:val="No Spacing"/>
    <w:uiPriority w:val="1"/>
    <w:qFormat/>
    <w:rsid w:val="00EB3E6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Style12ptBoldItalic">
    <w:name w:val="Style 12 pt Bold Italic"/>
    <w:uiPriority w:val="99"/>
    <w:rsid w:val="00C918CC"/>
    <w:rPr>
      <w:rFonts w:ascii="Times New Roman" w:hAnsi="Times New Roman"/>
      <w:b/>
      <w:bCs/>
      <w:i/>
      <w:iCs/>
      <w:sz w:val="22"/>
    </w:rPr>
  </w:style>
  <w:style w:type="table" w:styleId="af0">
    <w:name w:val="Table Grid"/>
    <w:basedOn w:val="a1"/>
    <w:uiPriority w:val="59"/>
    <w:rsid w:val="00D76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Абзац 3"/>
    <w:basedOn w:val="a"/>
    <w:hidden/>
    <w:rsid w:val="00D30CA3"/>
    <w:pPr>
      <w:autoSpaceDE/>
      <w:autoSpaceDN/>
      <w:jc w:val="both"/>
    </w:pPr>
    <w:rPr>
      <w:rFonts w:eastAsiaTheme="minorEastAsia" w:cstheme="minorBidi"/>
      <w:noProof/>
      <w:sz w:val="24"/>
      <w:szCs w:val="22"/>
    </w:rPr>
  </w:style>
  <w:style w:type="character" w:styleId="af1">
    <w:name w:val="Subtle Emphasis"/>
    <w:basedOn w:val="a0"/>
    <w:uiPriority w:val="19"/>
    <w:qFormat/>
    <w:rsid w:val="00C6364B"/>
    <w:rPr>
      <w:i/>
      <w:iCs/>
      <w:color w:val="404040" w:themeColor="text1" w:themeTint="BF"/>
    </w:rPr>
  </w:style>
  <w:style w:type="character" w:styleId="af2">
    <w:name w:val="Strong"/>
    <w:basedOn w:val="a0"/>
    <w:uiPriority w:val="22"/>
    <w:qFormat/>
    <w:rsid w:val="004A1B04"/>
    <w:rPr>
      <w:b/>
      <w:bCs/>
    </w:rPr>
  </w:style>
  <w:style w:type="character" w:customStyle="1" w:styleId="Subst">
    <w:name w:val="Subst"/>
    <w:uiPriority w:val="99"/>
    <w:rsid w:val="00DE2478"/>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534548">
      <w:bodyDiv w:val="1"/>
      <w:marLeft w:val="0"/>
      <w:marRight w:val="0"/>
      <w:marTop w:val="0"/>
      <w:marBottom w:val="0"/>
      <w:divBdr>
        <w:top w:val="none" w:sz="0" w:space="0" w:color="auto"/>
        <w:left w:val="none" w:sz="0" w:space="0" w:color="auto"/>
        <w:bottom w:val="none" w:sz="0" w:space="0" w:color="auto"/>
        <w:right w:val="none" w:sz="0" w:space="0" w:color="auto"/>
      </w:divBdr>
      <w:divsChild>
        <w:div w:id="1826436079">
          <w:marLeft w:val="0"/>
          <w:marRight w:val="0"/>
          <w:marTop w:val="0"/>
          <w:marBottom w:val="0"/>
          <w:divBdr>
            <w:top w:val="none" w:sz="0" w:space="0" w:color="auto"/>
            <w:left w:val="none" w:sz="0" w:space="0" w:color="auto"/>
            <w:bottom w:val="none" w:sz="0" w:space="0" w:color="auto"/>
            <w:right w:val="none" w:sz="0" w:space="0" w:color="auto"/>
          </w:divBdr>
        </w:div>
      </w:divsChild>
    </w:div>
    <w:div w:id="1899199163">
      <w:bodyDiv w:val="1"/>
      <w:marLeft w:val="0"/>
      <w:marRight w:val="0"/>
      <w:marTop w:val="0"/>
      <w:marBottom w:val="0"/>
      <w:divBdr>
        <w:top w:val="none" w:sz="0" w:space="0" w:color="auto"/>
        <w:left w:val="none" w:sz="0" w:space="0" w:color="auto"/>
        <w:bottom w:val="none" w:sz="0" w:space="0" w:color="auto"/>
        <w:right w:val="none" w:sz="0" w:space="0" w:color="auto"/>
      </w:divBdr>
    </w:div>
    <w:div w:id="1937706266">
      <w:bodyDiv w:val="1"/>
      <w:marLeft w:val="0"/>
      <w:marRight w:val="0"/>
      <w:marTop w:val="0"/>
      <w:marBottom w:val="0"/>
      <w:divBdr>
        <w:top w:val="none" w:sz="0" w:space="0" w:color="auto"/>
        <w:left w:val="none" w:sz="0" w:space="0" w:color="auto"/>
        <w:bottom w:val="none" w:sz="0" w:space="0" w:color="auto"/>
        <w:right w:val="none" w:sz="0" w:space="0" w:color="auto"/>
      </w:divBdr>
    </w:div>
    <w:div w:id="212626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k2.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isclosure.ru/portal/company.aspx?id=7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DE9F4-1857-4342-8BD4-4FEA5E85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3</Pages>
  <Words>1647</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Белокур Елена Викторовна</dc:creator>
  <cp:keywords/>
  <dc:description/>
  <cp:lastModifiedBy>Белокур Елена Викторовна</cp:lastModifiedBy>
  <cp:revision>313</cp:revision>
  <cp:lastPrinted>2023-09-05T13:15:00Z</cp:lastPrinted>
  <dcterms:created xsi:type="dcterms:W3CDTF">2020-02-27T13:07:00Z</dcterms:created>
  <dcterms:modified xsi:type="dcterms:W3CDTF">2023-09-05T14:46:00Z</dcterms:modified>
</cp:coreProperties>
</file>