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7C5C23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7C5C23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AC474F" w:rsidP="00E9074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5F15B2">
              <w:rPr>
                <w:b/>
                <w:bCs/>
                <w:iCs/>
                <w:sz w:val="22"/>
                <w:szCs w:val="22"/>
              </w:rPr>
              <w:t>03.12</w:t>
            </w:r>
            <w:r w:rsidR="00E90741" w:rsidRPr="005F15B2">
              <w:rPr>
                <w:b/>
                <w:bCs/>
                <w:iCs/>
                <w:sz w:val="22"/>
                <w:szCs w:val="22"/>
              </w:rPr>
              <w:t>.</w:t>
            </w:r>
            <w:r w:rsidR="00EB3E6C" w:rsidRPr="005F15B2">
              <w:rPr>
                <w:b/>
                <w:bCs/>
                <w:iCs/>
                <w:sz w:val="22"/>
                <w:szCs w:val="22"/>
              </w:rPr>
              <w:t>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AC474F" w:rsidRPr="00AC474F" w:rsidRDefault="00734292" w:rsidP="00AC474F">
            <w:pPr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t>1.1.</w:t>
            </w:r>
            <w:r w:rsidR="00AC474F" w:rsidRPr="00AC474F">
              <w:rPr>
                <w:sz w:val="24"/>
                <w:szCs w:val="24"/>
              </w:rPr>
              <w:t xml:space="preserve"> </w:t>
            </w:r>
            <w:r w:rsidR="00AC474F" w:rsidRPr="00AC474F">
              <w:t>О внесении изменений в Годовую комплексную программу закупок (ГКПЗ) Общества под нужды 2020 года.</w:t>
            </w:r>
          </w:p>
          <w:p w:rsidR="00734292" w:rsidRDefault="00734292" w:rsidP="002110F6"/>
          <w:p w:rsidR="002110F6" w:rsidRPr="00AC474F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AC474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 xml:space="preserve">Утвердить корректировку Годовой комплексной программы закупок (ГКПЗ) Общества под нужды 2020 года в соответствии с Приложениями №№ </w:t>
            </w:r>
            <w:proofErr w:type="gramStart"/>
            <w:r w:rsidRPr="00AC474F">
              <w:rPr>
                <w:bCs/>
                <w:spacing w:val="-4"/>
              </w:rPr>
              <w:t>1.1.1.,</w:t>
            </w:r>
            <w:proofErr w:type="gramEnd"/>
            <w:r w:rsidRPr="00AC474F">
              <w:rPr>
                <w:bCs/>
                <w:spacing w:val="-4"/>
              </w:rPr>
              <w:t xml:space="preserve"> 1.1.2. </w:t>
            </w:r>
            <w:r w:rsidR="00016B13" w:rsidRPr="008B0745">
              <w:rPr>
                <w:spacing w:val="-4"/>
              </w:rPr>
              <w:t>к решению Совета директоров</w:t>
            </w:r>
            <w:r w:rsidR="00016B13">
              <w:rPr>
                <w:spacing w:val="-4"/>
              </w:rPr>
              <w:t>.</w:t>
            </w:r>
          </w:p>
          <w:p w:rsidR="00AC474F" w:rsidRDefault="00AC474F" w:rsidP="00AC474F">
            <w:pPr>
              <w:widowControl w:val="0"/>
              <w:tabs>
                <w:tab w:val="left" w:pos="426"/>
              </w:tabs>
              <w:rPr>
                <w:bCs/>
                <w:spacing w:val="-4"/>
              </w:rPr>
            </w:pPr>
          </w:p>
          <w:p w:rsidR="003B28AC" w:rsidRPr="003B28AC" w:rsidRDefault="00734292" w:rsidP="003B28AC">
            <w:pPr>
              <w:widowControl w:val="0"/>
              <w:tabs>
                <w:tab w:val="left" w:pos="426"/>
              </w:tabs>
              <w:rPr>
                <w:b/>
                <w:bCs/>
                <w:caps/>
                <w:sz w:val="24"/>
                <w:szCs w:val="24"/>
              </w:rPr>
            </w:pPr>
            <w:r w:rsidRPr="00734292">
              <w:rPr>
                <w:bCs/>
                <w:spacing w:val="-4"/>
              </w:rPr>
              <w:t>1.</w:t>
            </w:r>
            <w:r w:rsidRPr="003B28AC">
              <w:rPr>
                <w:bCs/>
                <w:spacing w:val="-4"/>
              </w:rPr>
              <w:t xml:space="preserve">2. </w:t>
            </w:r>
            <w:r w:rsidR="003B28AC" w:rsidRPr="003B28AC">
              <w:t>О внесении изменений в Годовую комплексную программу закупок (ГКПЗ) Общества под нужды 2021 года.</w:t>
            </w:r>
          </w:p>
          <w:p w:rsidR="003B28AC" w:rsidRDefault="003B28AC" w:rsidP="00734292">
            <w:pPr>
              <w:rPr>
                <w:rFonts w:eastAsia="Calibri"/>
                <w:b/>
                <w:lang w:val="x-none" w:eastAsia="en-US"/>
              </w:rPr>
            </w:pPr>
          </w:p>
          <w:p w:rsidR="00734292" w:rsidRPr="006A5083" w:rsidRDefault="00734292" w:rsidP="00734292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90741" w:rsidRPr="00E90741" w:rsidRDefault="00E90741" w:rsidP="00E90741">
            <w:pPr>
              <w:widowControl w:val="0"/>
              <w:jc w:val="both"/>
              <w:rPr>
                <w:bCs/>
                <w:spacing w:val="-4"/>
              </w:rPr>
            </w:pPr>
            <w:r w:rsidRPr="00E90741">
              <w:rPr>
                <w:bCs/>
                <w:spacing w:val="-4"/>
              </w:rPr>
              <w:t>Утвердить корректировку Годовой комплексной программы закупо</w:t>
            </w:r>
            <w:r w:rsidR="003B28AC">
              <w:rPr>
                <w:bCs/>
                <w:spacing w:val="-4"/>
              </w:rPr>
              <w:t>к (ГКПЗ) Общества под нужды 2021</w:t>
            </w:r>
            <w:r w:rsidRPr="00E90741">
              <w:rPr>
                <w:bCs/>
                <w:spacing w:val="-4"/>
              </w:rPr>
              <w:t>год</w:t>
            </w:r>
            <w:r w:rsidR="003B28AC">
              <w:rPr>
                <w:bCs/>
                <w:spacing w:val="-4"/>
              </w:rPr>
              <w:t>а в соответствии с Приложением № 1.</w:t>
            </w:r>
            <w:r w:rsidRPr="00E90741">
              <w:rPr>
                <w:bCs/>
                <w:spacing w:val="-4"/>
              </w:rPr>
              <w:t xml:space="preserve">2. </w:t>
            </w:r>
            <w:r w:rsidR="00016B13" w:rsidRPr="008B0745">
              <w:rPr>
                <w:spacing w:val="-4"/>
              </w:rPr>
              <w:t>к решению Совета директоров</w:t>
            </w:r>
            <w:r w:rsidR="00016B13">
              <w:rPr>
                <w:spacing w:val="-4"/>
              </w:rPr>
              <w:t>.</w:t>
            </w:r>
          </w:p>
          <w:p w:rsidR="00734292" w:rsidRDefault="00734292" w:rsidP="00734292">
            <w:pPr>
              <w:widowControl w:val="0"/>
              <w:rPr>
                <w:bCs/>
                <w:spacing w:val="-4"/>
              </w:rPr>
            </w:pPr>
          </w:p>
          <w:p w:rsidR="00AC474F" w:rsidRPr="00AC474F" w:rsidRDefault="00734292" w:rsidP="00AC474F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  <w:r w:rsidRPr="00734292">
              <w:rPr>
                <w:bCs/>
                <w:spacing w:val="-4"/>
              </w:rPr>
              <w:t>1.3.</w:t>
            </w:r>
            <w:r w:rsidRPr="00E90741">
              <w:rPr>
                <w:bCs/>
                <w:spacing w:val="-4"/>
              </w:rPr>
              <w:t xml:space="preserve"> </w:t>
            </w:r>
            <w:r w:rsidR="00AC474F" w:rsidRPr="00AC474F">
              <w:t>О внесении изменений в условия договоров, заключенных Обществом.</w:t>
            </w:r>
          </w:p>
          <w:p w:rsidR="00AC474F" w:rsidRPr="00AC474F" w:rsidRDefault="00AC474F" w:rsidP="00AC474F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734292" w:rsidRPr="00E90741" w:rsidRDefault="00734292" w:rsidP="00E90741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E04510" w:rsidRDefault="00AC474F" w:rsidP="00C56E79">
            <w:pPr>
              <w:jc w:val="both"/>
              <w:rPr>
                <w:b/>
              </w:rPr>
            </w:pPr>
            <w:r w:rsidRPr="00AC474F">
              <w:t xml:space="preserve">Согласовать внесение изменений в условия заключенных Обществом договоров в соответствии с Приложениями №№ </w:t>
            </w:r>
            <w:proofErr w:type="gramStart"/>
            <w:r w:rsidRPr="00AC474F">
              <w:t>1.3.1.,</w:t>
            </w:r>
            <w:proofErr w:type="gramEnd"/>
            <w:r w:rsidRPr="00AC474F">
              <w:t xml:space="preserve"> 1.3.2. </w:t>
            </w:r>
            <w:r w:rsidR="00016B13" w:rsidRPr="008B0745">
              <w:rPr>
                <w:spacing w:val="-4"/>
              </w:rPr>
              <w:t>к решению Совета директоров</w:t>
            </w:r>
            <w:r w:rsidR="00016B13">
              <w:rPr>
                <w:b/>
              </w:rPr>
              <w:t>.</w:t>
            </w:r>
          </w:p>
          <w:p w:rsidR="00016B13" w:rsidRPr="006A5083" w:rsidRDefault="00016B13" w:rsidP="00C56E79">
            <w:pPr>
              <w:jc w:val="both"/>
              <w:rPr>
                <w:b/>
              </w:rPr>
            </w:pPr>
          </w:p>
          <w:p w:rsidR="00AC474F" w:rsidRPr="00AC474F" w:rsidRDefault="00AC474F" w:rsidP="00AC474F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AC474F">
              <w:rPr>
                <w:b/>
              </w:rPr>
              <w:t>Об одобрении Коллективного договора Общества на 2021-2023 гг.</w:t>
            </w:r>
          </w:p>
          <w:p w:rsidR="00E04510" w:rsidRPr="00E90741" w:rsidRDefault="00E04510" w:rsidP="00E90741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AC474F" w:rsidRPr="00AC474F" w:rsidRDefault="00AC474F" w:rsidP="00AC474F">
            <w:pPr>
              <w:widowControl w:val="0"/>
              <w:jc w:val="both"/>
            </w:pPr>
            <w:r w:rsidRPr="00AC474F">
              <w:t xml:space="preserve">Одобрить Коллективный договор ПАО «ОГК-2» на 2021-2023 гг. </w:t>
            </w:r>
            <w:r w:rsidR="00112AA4">
              <w:t xml:space="preserve">в соответствии с </w:t>
            </w:r>
            <w:r w:rsidR="00016B13">
              <w:t xml:space="preserve">Приложением </w:t>
            </w:r>
            <w:r w:rsidRPr="00AC474F">
              <w:t xml:space="preserve">№ 2.1. к </w:t>
            </w:r>
            <w:r w:rsidR="00016B13" w:rsidRPr="008B0745">
              <w:rPr>
                <w:spacing w:val="-4"/>
              </w:rPr>
              <w:t>решению Совета директоров</w:t>
            </w:r>
            <w:r w:rsidR="00016B13">
              <w:rPr>
                <w:spacing w:val="-4"/>
              </w:rPr>
              <w:t>.</w:t>
            </w:r>
          </w:p>
          <w:p w:rsidR="009009A3" w:rsidRPr="006A5083" w:rsidRDefault="009009A3" w:rsidP="009009A3">
            <w:pPr>
              <w:widowControl w:val="0"/>
              <w:jc w:val="both"/>
              <w:rPr>
                <w:b/>
              </w:rPr>
            </w:pPr>
          </w:p>
          <w:p w:rsidR="00AC474F" w:rsidRPr="00AC474F" w:rsidRDefault="00AC474F" w:rsidP="00AC474F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AC474F">
              <w:rPr>
                <w:b/>
              </w:rPr>
              <w:t>Об утверждении скорректированного Бизнес-плана Общества на 2020 год.</w:t>
            </w:r>
          </w:p>
          <w:p w:rsidR="009009A3" w:rsidRPr="006A5083" w:rsidRDefault="009009A3" w:rsidP="009009A3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009A3" w:rsidRDefault="00AC474F" w:rsidP="00906199">
            <w:pPr>
              <w:widowControl w:val="0"/>
              <w:tabs>
                <w:tab w:val="left" w:pos="567"/>
              </w:tabs>
              <w:jc w:val="both"/>
              <w:rPr>
                <w:spacing w:val="-4"/>
              </w:rPr>
            </w:pPr>
            <w:r w:rsidRPr="00AC474F">
              <w:rPr>
                <w:bCs/>
                <w:spacing w:val="-4"/>
              </w:rPr>
              <w:t xml:space="preserve">Утвердить скорректированный Бизнес-план ПАО «ОГК-2» на 2020 год </w:t>
            </w:r>
            <w:r w:rsidR="00112AA4">
              <w:t xml:space="preserve">в соответствии с </w:t>
            </w:r>
            <w:r w:rsidR="00112AA4">
              <w:rPr>
                <w:bCs/>
                <w:spacing w:val="-4"/>
              </w:rPr>
              <w:t>Приложением</w:t>
            </w:r>
            <w:r w:rsidRPr="00AC474F">
              <w:rPr>
                <w:bCs/>
                <w:spacing w:val="-4"/>
              </w:rPr>
              <w:t xml:space="preserve"> № 3.1. </w:t>
            </w:r>
            <w:r w:rsidR="00112AA4" w:rsidRPr="00AC474F">
              <w:t xml:space="preserve">к </w:t>
            </w:r>
            <w:r w:rsidR="00112AA4" w:rsidRPr="008B0745">
              <w:rPr>
                <w:spacing w:val="-4"/>
              </w:rPr>
              <w:t>решению Совета директоров</w:t>
            </w:r>
            <w:r w:rsidR="00112AA4">
              <w:rPr>
                <w:spacing w:val="-4"/>
              </w:rPr>
              <w:t>.</w:t>
            </w:r>
          </w:p>
          <w:p w:rsidR="00112AA4" w:rsidRDefault="00112AA4" w:rsidP="00906199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78495F" w:rsidRDefault="00AC474F" w:rsidP="00AC474F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b/>
                <w:bCs/>
                <w:spacing w:val="-4"/>
              </w:rPr>
            </w:pPr>
            <w:r w:rsidRPr="00AC474F">
              <w:rPr>
                <w:b/>
                <w:bCs/>
                <w:spacing w:val="-4"/>
              </w:rPr>
              <w:t>Об определении приоритетных направлений деятельности Общества.</w:t>
            </w:r>
          </w:p>
          <w:p w:rsidR="00AC474F" w:rsidRDefault="00AC474F" w:rsidP="00AC474F">
            <w:pPr>
              <w:pStyle w:val="a7"/>
              <w:widowControl w:val="0"/>
              <w:tabs>
                <w:tab w:val="left" w:pos="567"/>
              </w:tabs>
              <w:jc w:val="both"/>
            </w:pPr>
            <w:r w:rsidRPr="009D68C8">
              <w:t>4.1. Об утверждении скорректированного Плана мероприятий по повышению операционной эффективности и оптимизации расходов ПАО «ОГК-2» на 2020 год.</w:t>
            </w:r>
          </w:p>
          <w:p w:rsidR="0090339F" w:rsidRPr="00734292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 xml:space="preserve">Утвердить скорректированный План мероприятий по повышению операционной эффективности и оптимизации расходов </w:t>
            </w:r>
            <w:r w:rsidR="003B28AC">
              <w:rPr>
                <w:bCs/>
                <w:spacing w:val="-4"/>
              </w:rPr>
              <w:t xml:space="preserve">                      </w:t>
            </w:r>
            <w:r w:rsidRPr="00AC474F">
              <w:rPr>
                <w:bCs/>
                <w:spacing w:val="-4"/>
              </w:rPr>
              <w:t>ПАО «ОГК-2» на 2020 год, в соответствии с Приложением №</w:t>
            </w:r>
            <w:r w:rsidR="003B28AC">
              <w:rPr>
                <w:bCs/>
                <w:spacing w:val="-4"/>
              </w:rPr>
              <w:t xml:space="preserve"> 4.1. к решению Совета директоров</w:t>
            </w:r>
            <w:r w:rsidRPr="00AC474F">
              <w:rPr>
                <w:bCs/>
                <w:spacing w:val="-4"/>
              </w:rPr>
              <w:t>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591BB3" w:rsidRDefault="00AC474F" w:rsidP="00FB1074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b/>
              </w:rPr>
            </w:pPr>
            <w:r w:rsidRPr="00AC474F">
              <w:rPr>
                <w:b/>
              </w:rPr>
              <w:t>Об утверждении программы биржевых облигаций Общества серии 003Р.</w:t>
            </w:r>
          </w:p>
          <w:p w:rsidR="00FB1074" w:rsidRPr="0090339F" w:rsidRDefault="00FB1074" w:rsidP="00FB1074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FB1074" w:rsidRPr="0090339F" w:rsidTr="00143628">
              <w:tc>
                <w:tcPr>
                  <w:tcW w:w="2795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>
                    <w:rPr>
                      <w:bCs/>
                    </w:rPr>
                    <w:t>Шацкий</w:t>
                  </w:r>
                  <w:proofErr w:type="spellEnd"/>
                  <w:r>
                    <w:rPr>
                      <w:bCs/>
                    </w:rPr>
                    <w:t xml:space="preserve"> П.О., Рогов А.В.</w:t>
                  </w:r>
                  <w:r w:rsidRPr="0090339F">
                    <w:rPr>
                      <w:bCs/>
                    </w:rPr>
                    <w:t xml:space="preserve"> Федоров Д.В.</w:t>
                  </w:r>
                  <w:r>
                    <w:rPr>
                      <w:bCs/>
                    </w:rPr>
                    <w:t>,</w:t>
                  </w:r>
                  <w:r w:rsidRPr="0090339F">
                    <w:rPr>
                      <w:bCs/>
                    </w:rPr>
                    <w:t xml:space="preserve"> </w:t>
                  </w:r>
                  <w:proofErr w:type="spellStart"/>
                  <w:r w:rsidRPr="0090339F">
                    <w:rPr>
                      <w:bCs/>
                    </w:rPr>
                    <w:t>Коробкина</w:t>
                  </w:r>
                  <w:proofErr w:type="spellEnd"/>
                  <w:r w:rsidRPr="0090339F">
                    <w:rPr>
                      <w:bCs/>
                    </w:rPr>
                    <w:t xml:space="preserve"> И.Ю.</w:t>
                  </w:r>
                  <w:r>
                    <w:rPr>
                      <w:bCs/>
                    </w:rPr>
                    <w:t xml:space="preserve">, Земляной Е.Н.,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>
                    <w:rPr>
                      <w:bCs/>
                    </w:rPr>
                    <w:t xml:space="preserve"> А.Ф.</w:t>
                  </w:r>
                  <w:r w:rsidRPr="0090339F">
                    <w:rPr>
                      <w:bCs/>
                    </w:rPr>
                    <w:t xml:space="preserve">             </w:t>
                  </w:r>
                </w:p>
              </w:tc>
            </w:tr>
            <w:tr w:rsidR="00FB1074" w:rsidRPr="0090339F" w:rsidTr="00143628">
              <w:tc>
                <w:tcPr>
                  <w:tcW w:w="2795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FB1074" w:rsidRPr="0090339F" w:rsidTr="00143628">
              <w:tc>
                <w:tcPr>
                  <w:tcW w:w="2795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FB1074" w:rsidRPr="0090339F" w:rsidTr="00143628">
              <w:trPr>
                <w:trHeight w:val="70"/>
              </w:trPr>
              <w:tc>
                <w:tcPr>
                  <w:tcW w:w="2795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hideMark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FB1074" w:rsidRPr="0090339F" w:rsidRDefault="00FB1074" w:rsidP="00FB107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FB1074" w:rsidRDefault="00FB1074" w:rsidP="0078495F">
            <w:pPr>
              <w:rPr>
                <w:rFonts w:eastAsia="Calibri"/>
                <w:b/>
                <w:lang w:val="x-none" w:eastAsia="en-US"/>
              </w:rPr>
            </w:pPr>
          </w:p>
          <w:p w:rsidR="0078495F" w:rsidRDefault="0078495F" w:rsidP="0078495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 xml:space="preserve">Утвердить программу биржевых облигаций серии 003Р, в рамках которой по открытой подписке могут быть размещены биржевые облигации процентные неконвертируемые бездокументарные с централизованным учетом прав, со следующими параметрами: 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- общая (максимальная) сумма номинальных стоимостей всех выпусков биржевых облигаций, размещаемых в рамках программы биржевых облигаций, составляет 27 043 000 000 (Двадцать семь миллиардов сорок три миллиона) российских рублей включительно;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 xml:space="preserve">- максимальный срок погашения биржевых облигаций, размещаемых в рамках программы биржевых облигаций, составляет 819 (Восемьсот девятнадцать) дней с даты начала размещения выпуска биржевых облигаций в рамках программы биржевых облигаций; 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- срок действия программы биржевых облигаций: бессрочная;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- не предусмотрено предоставление обеспечения исполнения обязательств по биржевым облигациям, размещаемым в рамках программы биржевых облигаций;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- предусмотрена возможность досрочного (в том числе частичного досрочного) погашения биржевых облигаций, размещаемых в рамках программы биржевых облигаций, по усмотрению эмитента в порядке и на условиях, предусмотренных программой биржевых облигаций.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AC474F" w:rsidRDefault="009155EE" w:rsidP="00AC474F">
            <w:pPr>
              <w:pStyle w:val="a7"/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011785" w:rsidRPr="008F319F">
              <w:rPr>
                <w:b/>
              </w:rPr>
              <w:t xml:space="preserve">. </w:t>
            </w:r>
            <w:r w:rsidR="00AC474F" w:rsidRPr="00124F15">
              <w:rPr>
                <w:b/>
              </w:rPr>
              <w:t>Об утверждении проспекта ценных бумаг Общества в отношении биржевых облигаций, размещаемых в рамках программы биржевых облигаций серии 003Р.</w:t>
            </w:r>
          </w:p>
          <w:p w:rsidR="00FB1074" w:rsidRPr="00FB1074" w:rsidRDefault="00FB1074" w:rsidP="00FB1074">
            <w:r w:rsidRPr="00FB1074"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FB1074" w:rsidRPr="00FB1074" w:rsidTr="00143628">
              <w:tc>
                <w:tcPr>
                  <w:tcW w:w="2795" w:type="dxa"/>
                  <w:hideMark/>
                </w:tcPr>
                <w:p w:rsidR="00FB1074" w:rsidRPr="00FB1074" w:rsidRDefault="00FB1074" w:rsidP="00FB1074">
                  <w:pPr>
                    <w:rPr>
                      <w:b/>
                    </w:rPr>
                  </w:pPr>
                  <w:r w:rsidRPr="00FB1074">
                    <w:rPr>
                      <w:b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hideMark/>
                </w:tcPr>
                <w:p w:rsidR="00FB1074" w:rsidRPr="00FB1074" w:rsidRDefault="00FB1074" w:rsidP="00FB1074">
                  <w:r w:rsidRPr="00FB1074">
                    <w:t xml:space="preserve">  11</w:t>
                  </w:r>
                </w:p>
              </w:tc>
              <w:tc>
                <w:tcPr>
                  <w:tcW w:w="7087" w:type="dxa"/>
                  <w:hideMark/>
                </w:tcPr>
                <w:p w:rsidR="00FB1074" w:rsidRPr="00FB1074" w:rsidRDefault="00FB1074" w:rsidP="00FB1074">
                  <w:r w:rsidRPr="00FB1074">
                    <w:t xml:space="preserve">Абдуллин Р.Э., </w:t>
                  </w:r>
                  <w:proofErr w:type="spellStart"/>
                  <w:r w:rsidRPr="00FB1074">
                    <w:t>Пятницев</w:t>
                  </w:r>
                  <w:proofErr w:type="spellEnd"/>
                  <w:r w:rsidRPr="00FB1074">
                    <w:t xml:space="preserve"> В.Г., </w:t>
                  </w:r>
                  <w:proofErr w:type="spellStart"/>
                  <w:r w:rsidRPr="00FB1074">
                    <w:t>Семиколенов</w:t>
                  </w:r>
                  <w:proofErr w:type="spellEnd"/>
                  <w:r w:rsidRPr="00FB1074">
                    <w:t xml:space="preserve"> А.В., </w:t>
                  </w:r>
                  <w:proofErr w:type="spellStart"/>
                  <w:r w:rsidRPr="00FB1074">
                    <w:t>Рогалев</w:t>
                  </w:r>
                  <w:proofErr w:type="spellEnd"/>
                  <w:r w:rsidRPr="00FB1074">
                    <w:t xml:space="preserve"> Н.Д., Зайцев С.А., </w:t>
                  </w:r>
                  <w:proofErr w:type="spellStart"/>
                  <w:r w:rsidRPr="00FB1074">
                    <w:t>Шацкий</w:t>
                  </w:r>
                  <w:proofErr w:type="spellEnd"/>
                  <w:r w:rsidRPr="00FB1074">
                    <w:t xml:space="preserve"> П.О., Рогов А.В. Федоров Д.В., </w:t>
                  </w:r>
                  <w:proofErr w:type="spellStart"/>
                  <w:r w:rsidRPr="00FB1074">
                    <w:t>Коробкина</w:t>
                  </w:r>
                  <w:proofErr w:type="spellEnd"/>
                  <w:r w:rsidRPr="00FB1074">
                    <w:t xml:space="preserve"> И.Ю., Земляной Е.Н., </w:t>
                  </w:r>
                  <w:proofErr w:type="spellStart"/>
                  <w:r w:rsidRPr="00FB1074">
                    <w:t>Бикмурзин</w:t>
                  </w:r>
                  <w:proofErr w:type="spellEnd"/>
                  <w:r w:rsidRPr="00FB1074">
                    <w:t xml:space="preserve"> А.Ф.             </w:t>
                  </w:r>
                </w:p>
              </w:tc>
            </w:tr>
            <w:tr w:rsidR="00FB1074" w:rsidRPr="00FB1074" w:rsidTr="00143628">
              <w:tc>
                <w:tcPr>
                  <w:tcW w:w="2795" w:type="dxa"/>
                  <w:hideMark/>
                </w:tcPr>
                <w:p w:rsidR="00FB1074" w:rsidRPr="00FB1074" w:rsidRDefault="00FB1074" w:rsidP="00FB1074">
                  <w:pPr>
                    <w:rPr>
                      <w:b/>
                    </w:rPr>
                  </w:pPr>
                  <w:r w:rsidRPr="00FB1074">
                    <w:rPr>
                      <w:b/>
                    </w:rPr>
                    <w:t>«ПРОТИВ»</w:t>
                  </w:r>
                </w:p>
              </w:tc>
              <w:tc>
                <w:tcPr>
                  <w:tcW w:w="709" w:type="dxa"/>
                  <w:hideMark/>
                </w:tcPr>
                <w:p w:rsidR="00FB1074" w:rsidRPr="00FB1074" w:rsidRDefault="00FB1074" w:rsidP="00FB1074">
                  <w:r w:rsidRPr="00FB1074"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FB1074" w:rsidRPr="00FB1074" w:rsidRDefault="00FB1074" w:rsidP="00FB1074"/>
              </w:tc>
            </w:tr>
            <w:tr w:rsidR="00FB1074" w:rsidRPr="00FB1074" w:rsidTr="00143628">
              <w:tc>
                <w:tcPr>
                  <w:tcW w:w="2795" w:type="dxa"/>
                  <w:hideMark/>
                </w:tcPr>
                <w:p w:rsidR="00FB1074" w:rsidRPr="00FB1074" w:rsidRDefault="00FB1074" w:rsidP="00FB1074">
                  <w:pPr>
                    <w:rPr>
                      <w:b/>
                    </w:rPr>
                  </w:pPr>
                  <w:r w:rsidRPr="00FB1074">
                    <w:rPr>
                      <w:b/>
                    </w:rPr>
                    <w:t>«ВОЗДЕРЖАЛСЯ»</w:t>
                  </w:r>
                </w:p>
              </w:tc>
              <w:tc>
                <w:tcPr>
                  <w:tcW w:w="709" w:type="dxa"/>
                  <w:hideMark/>
                </w:tcPr>
                <w:p w:rsidR="00FB1074" w:rsidRPr="00FB1074" w:rsidRDefault="00FB1074" w:rsidP="00FB1074">
                  <w:r w:rsidRPr="00FB1074"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FB1074" w:rsidRPr="00FB1074" w:rsidRDefault="00FB1074" w:rsidP="00FB1074"/>
              </w:tc>
            </w:tr>
            <w:tr w:rsidR="00FB1074" w:rsidRPr="00FB1074" w:rsidTr="00143628">
              <w:trPr>
                <w:trHeight w:val="70"/>
              </w:trPr>
              <w:tc>
                <w:tcPr>
                  <w:tcW w:w="2795" w:type="dxa"/>
                  <w:hideMark/>
                </w:tcPr>
                <w:p w:rsidR="00FB1074" w:rsidRPr="00FB1074" w:rsidRDefault="00FB1074" w:rsidP="00FB1074">
                  <w:pPr>
                    <w:rPr>
                      <w:b/>
                    </w:rPr>
                  </w:pPr>
                  <w:r w:rsidRPr="00FB1074">
                    <w:rPr>
                      <w:b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hideMark/>
                </w:tcPr>
                <w:p w:rsidR="00FB1074" w:rsidRPr="00FB1074" w:rsidRDefault="00FB1074" w:rsidP="00FB1074">
                  <w:r w:rsidRPr="00FB1074"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FB1074" w:rsidRPr="00FB1074" w:rsidRDefault="00FB1074" w:rsidP="00FB1074">
                  <w:r w:rsidRPr="00FB1074">
                    <w:t xml:space="preserve"> </w:t>
                  </w:r>
                </w:p>
              </w:tc>
            </w:tr>
          </w:tbl>
          <w:p w:rsidR="00FB1074" w:rsidRDefault="00FB1074" w:rsidP="009155EE">
            <w:pPr>
              <w:widowControl w:val="0"/>
              <w:jc w:val="both"/>
              <w:rPr>
                <w:b/>
                <w:bCs/>
              </w:rPr>
            </w:pPr>
          </w:p>
          <w:p w:rsidR="009155EE" w:rsidRPr="009155EE" w:rsidRDefault="009155EE" w:rsidP="009155EE">
            <w:pPr>
              <w:widowControl w:val="0"/>
              <w:jc w:val="both"/>
              <w:rPr>
                <w:b/>
                <w:bCs/>
              </w:rPr>
            </w:pPr>
            <w:r w:rsidRPr="009155EE">
              <w:rPr>
                <w:b/>
                <w:bCs/>
              </w:rPr>
              <w:t>Принятое решение: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Утвердить проспект ценных бумаг ПАО «ОГК-2» в отношении биржевых облигаций процентных неконвертируемых бездокументарных с централизованным учетом прав, размещаемых по открытой подписке, в рамках программы биржевых облигаций серии 003Р, со следующими параметрами: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- общая (максимальная) сумма номинальных стоимостей всех выпусков биржевых облигаций, размещаемых в рамках программы биржевых облигаций, составляет 27 043 000 000 (Двадцать семь миллиардов сорок три миллиона) российских рублей включительно;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 xml:space="preserve">- максимальный срок погашения биржевых облигаций, размещаемых в рамках программы биржевых облигаций, составляет 819 (Восемьсот девятнадцать) дней с даты начала размещения выпуска биржевых облигаций в рамках программы биржевых облигаций; 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- срок действия программы биржевых облигаций: бессрочная;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- не предусмотрено предоставление обеспечения исполнения обязательств по биржевым облигациям, размещаемым в рамках программы биржевых облигаций;</w:t>
            </w:r>
          </w:p>
          <w:p w:rsid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- предусмотрена возможность досрочного (в том числе частичного досрочного) погашения биржевых облигаций, размещаемых в рамках программы биржевых облигаций, по усмотрению эмитента в порядке и на условиях, предусмотренных программой биржевых облигаций.</w:t>
            </w:r>
          </w:p>
          <w:p w:rsidR="003942C1" w:rsidRPr="00AC474F" w:rsidRDefault="003942C1" w:rsidP="00AC474F">
            <w:pPr>
              <w:widowControl w:val="0"/>
              <w:jc w:val="both"/>
              <w:rPr>
                <w:bCs/>
                <w:spacing w:val="-4"/>
              </w:rPr>
            </w:pPr>
          </w:p>
          <w:p w:rsidR="00AC474F" w:rsidRDefault="003942C1" w:rsidP="00AC474F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3942C1">
              <w:rPr>
                <w:b/>
              </w:rPr>
              <w:t xml:space="preserve">7. </w:t>
            </w:r>
            <w:r w:rsidR="00AC474F" w:rsidRPr="00AC474F">
              <w:rPr>
                <w:b/>
              </w:rPr>
              <w:t>Об утверждении кандидатуры организатора выпуска биржевых облигаций Общества серии 003Р-01 в рамках программы биржевых облигаций серии 003Р.</w:t>
            </w:r>
          </w:p>
          <w:p w:rsidR="00054A51" w:rsidRPr="00AC474F" w:rsidRDefault="00054A51" w:rsidP="00AC474F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054A51" w:rsidRPr="00054A51" w:rsidRDefault="00054A51" w:rsidP="00054A51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054A51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054A51" w:rsidRPr="00054A51" w:rsidTr="00143628">
              <w:tc>
                <w:tcPr>
                  <w:tcW w:w="2795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054A51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054A51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054A51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054A51">
                    <w:rPr>
                      <w:bCs/>
                    </w:rPr>
                    <w:t>Пятницев</w:t>
                  </w:r>
                  <w:proofErr w:type="spellEnd"/>
                  <w:r w:rsidRPr="00054A51">
                    <w:rPr>
                      <w:bCs/>
                    </w:rPr>
                    <w:t xml:space="preserve"> В.Г., </w:t>
                  </w:r>
                  <w:proofErr w:type="spellStart"/>
                  <w:r w:rsidRPr="00054A51">
                    <w:rPr>
                      <w:bCs/>
                    </w:rPr>
                    <w:t>Семиколенов</w:t>
                  </w:r>
                  <w:proofErr w:type="spellEnd"/>
                  <w:r w:rsidRPr="00054A51">
                    <w:rPr>
                      <w:bCs/>
                    </w:rPr>
                    <w:t xml:space="preserve"> А.В., </w:t>
                  </w:r>
                  <w:proofErr w:type="spellStart"/>
                  <w:r w:rsidRPr="00054A51">
                    <w:rPr>
                      <w:bCs/>
                    </w:rPr>
                    <w:t>Рогалев</w:t>
                  </w:r>
                  <w:proofErr w:type="spellEnd"/>
                  <w:r w:rsidRPr="00054A51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Pr="00054A51">
                    <w:rPr>
                      <w:bCs/>
                    </w:rPr>
                    <w:t>Шацкий</w:t>
                  </w:r>
                  <w:proofErr w:type="spellEnd"/>
                  <w:r w:rsidRPr="00054A51">
                    <w:rPr>
                      <w:bCs/>
                    </w:rPr>
                    <w:t xml:space="preserve"> П.О., Рогов А.В. Федоров Д.В., </w:t>
                  </w:r>
                  <w:proofErr w:type="spellStart"/>
                  <w:r w:rsidRPr="00054A51">
                    <w:rPr>
                      <w:bCs/>
                    </w:rPr>
                    <w:t>Коробкина</w:t>
                  </w:r>
                  <w:proofErr w:type="spellEnd"/>
                  <w:r w:rsidRPr="00054A51">
                    <w:rPr>
                      <w:bCs/>
                    </w:rPr>
                    <w:t xml:space="preserve"> И.Ю., Земляной Е.Н., </w:t>
                  </w:r>
                  <w:proofErr w:type="spellStart"/>
                  <w:r w:rsidRPr="00054A51">
                    <w:rPr>
                      <w:bCs/>
                    </w:rPr>
                    <w:t>Бикмурзин</w:t>
                  </w:r>
                  <w:proofErr w:type="spellEnd"/>
                  <w:r w:rsidRPr="00054A51">
                    <w:rPr>
                      <w:bCs/>
                    </w:rPr>
                    <w:t xml:space="preserve"> А.Ф.             </w:t>
                  </w:r>
                </w:p>
              </w:tc>
            </w:tr>
            <w:tr w:rsidR="00054A51" w:rsidRPr="00054A51" w:rsidTr="00143628">
              <w:tc>
                <w:tcPr>
                  <w:tcW w:w="2795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054A51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054A51">
                    <w:rPr>
                      <w:bCs/>
                    </w:rPr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054A51" w:rsidRPr="00054A51" w:rsidTr="00143628">
              <w:tc>
                <w:tcPr>
                  <w:tcW w:w="2795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054A51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054A51">
                    <w:rPr>
                      <w:bCs/>
                    </w:rPr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054A51" w:rsidRPr="00054A51" w:rsidTr="00143628">
              <w:trPr>
                <w:trHeight w:val="70"/>
              </w:trPr>
              <w:tc>
                <w:tcPr>
                  <w:tcW w:w="2795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054A51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hideMark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054A51">
                    <w:rPr>
                      <w:bCs/>
                    </w:rPr>
                    <w:t xml:space="preserve">  0</w:t>
                  </w:r>
                </w:p>
              </w:tc>
              <w:tc>
                <w:tcPr>
                  <w:tcW w:w="7087" w:type="dxa"/>
                </w:tcPr>
                <w:p w:rsidR="00054A51" w:rsidRPr="00054A51" w:rsidRDefault="00054A51" w:rsidP="00054A51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054A51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AC474F" w:rsidRPr="00AC474F" w:rsidRDefault="00AC474F" w:rsidP="00AC474F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B5D58" w:rsidRDefault="009B5D58" w:rsidP="00AC474F">
            <w:pPr>
              <w:widowControl w:val="0"/>
              <w:jc w:val="both"/>
              <w:rPr>
                <w:b/>
                <w:bCs/>
              </w:rPr>
            </w:pPr>
          </w:p>
          <w:p w:rsidR="00AC474F" w:rsidRPr="009155EE" w:rsidRDefault="00AC474F" w:rsidP="00AC474F">
            <w:pPr>
              <w:widowControl w:val="0"/>
              <w:jc w:val="both"/>
              <w:rPr>
                <w:b/>
                <w:bCs/>
              </w:rPr>
            </w:pPr>
            <w:r w:rsidRPr="009155EE">
              <w:rPr>
                <w:b/>
                <w:bCs/>
              </w:rPr>
              <w:lastRenderedPageBreak/>
              <w:t>Принятое решение: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 xml:space="preserve">Утвердить «Газпромбанк» (Акционерное общество) в качестве кандидатуры организатора выпуска биржевых облигаций </w:t>
            </w:r>
            <w:r w:rsidR="003B28AC">
              <w:rPr>
                <w:bCs/>
                <w:spacing w:val="-4"/>
              </w:rPr>
              <w:t xml:space="preserve">                </w:t>
            </w:r>
            <w:r w:rsidRPr="00AC474F">
              <w:rPr>
                <w:bCs/>
                <w:spacing w:val="-4"/>
              </w:rPr>
              <w:t>ПАО «ОГК-2» серии 003Р-01 в рамках программы биржевых облигаций серии 003Р.</w:t>
            </w:r>
          </w:p>
          <w:p w:rsidR="00AC474F" w:rsidRPr="0090339F" w:rsidRDefault="00AC474F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706628" w:rsidRPr="006A5083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AC474F">
              <w:rPr>
                <w:b/>
                <w:color w:val="000000"/>
              </w:rPr>
              <w:t>03.12</w:t>
            </w:r>
            <w:r w:rsidR="00EB3E6C" w:rsidRPr="006A5083">
              <w:rPr>
                <w:b/>
                <w:color w:val="000000"/>
              </w:rPr>
              <w:t>.2020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EE78FF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AC474F">
              <w:rPr>
                <w:b/>
              </w:rPr>
              <w:t>03.12</w:t>
            </w:r>
            <w:r w:rsidR="00EB3E6C" w:rsidRPr="006A5083">
              <w:rPr>
                <w:b/>
              </w:rPr>
              <w:t>.20</w:t>
            </w:r>
            <w:r w:rsidR="00A92E98" w:rsidRPr="006A5083">
              <w:rPr>
                <w:b/>
              </w:rPr>
              <w:t>20</w:t>
            </w:r>
            <w:r w:rsidR="00B5172B">
              <w:rPr>
                <w:b/>
              </w:rPr>
              <w:t xml:space="preserve"> № 249</w:t>
            </w:r>
            <w:r w:rsidR="00C82222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49CC" w:rsidRPr="008D49CC" w:rsidRDefault="00706628" w:rsidP="008D49CC">
            <w:pPr>
              <w:ind w:left="57"/>
              <w:rPr>
                <w:sz w:val="24"/>
                <w:szCs w:val="24"/>
                <w:lang w:eastAsia="en-US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8D49CC" w:rsidRPr="008D49CC">
              <w:rPr>
                <w:b/>
                <w:sz w:val="22"/>
                <w:szCs w:val="22"/>
              </w:rPr>
              <w:t>Начальник Управления корпоративных и имущественных отношений ПАО «ОГК-2» на основании доверенности № 78/337-н/78-2019-9-281 от 12.11.2019</w:t>
            </w:r>
            <w:r w:rsidR="008D49CC" w:rsidRPr="008D49CC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:rsidR="00706628" w:rsidRPr="00A27100" w:rsidRDefault="00706628" w:rsidP="006F54FE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8D49CC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5F15B2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AC474F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23" w:rsidRDefault="007C5C23">
      <w:r>
        <w:separator/>
      </w:r>
    </w:p>
  </w:endnote>
  <w:endnote w:type="continuationSeparator" w:id="0">
    <w:p w:rsidR="007C5C23" w:rsidRDefault="007C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F15B2">
      <w:rPr>
        <w:noProof/>
      </w:rPr>
      <w:t>2</w:t>
    </w:r>
    <w:r>
      <w:fldChar w:fldCharType="end"/>
    </w:r>
  </w:p>
  <w:p w:rsidR="0088447D" w:rsidRDefault="007C5C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23" w:rsidRDefault="007C5C23">
      <w:r>
        <w:separator/>
      </w:r>
    </w:p>
  </w:footnote>
  <w:footnote w:type="continuationSeparator" w:id="0">
    <w:p w:rsidR="007C5C23" w:rsidRDefault="007C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7C5C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FF4FDB"/>
    <w:multiLevelType w:val="multilevel"/>
    <w:tmpl w:val="4F6E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565CC8"/>
    <w:multiLevelType w:val="hybridMultilevel"/>
    <w:tmpl w:val="6F404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16B13"/>
    <w:rsid w:val="00026DCA"/>
    <w:rsid w:val="000338F0"/>
    <w:rsid w:val="00050DF5"/>
    <w:rsid w:val="00051293"/>
    <w:rsid w:val="00054A51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D3DBD"/>
    <w:rsid w:val="000D7DD9"/>
    <w:rsid w:val="000E5D25"/>
    <w:rsid w:val="000F373C"/>
    <w:rsid w:val="000F687B"/>
    <w:rsid w:val="001053E4"/>
    <w:rsid w:val="00112AA4"/>
    <w:rsid w:val="00113BE1"/>
    <w:rsid w:val="00124F15"/>
    <w:rsid w:val="0013291E"/>
    <w:rsid w:val="00141059"/>
    <w:rsid w:val="00144C56"/>
    <w:rsid w:val="00155DA2"/>
    <w:rsid w:val="00160BD6"/>
    <w:rsid w:val="0016385F"/>
    <w:rsid w:val="00183B0B"/>
    <w:rsid w:val="001878E7"/>
    <w:rsid w:val="00192043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7449F"/>
    <w:rsid w:val="00293ADD"/>
    <w:rsid w:val="00296E9E"/>
    <w:rsid w:val="002C0635"/>
    <w:rsid w:val="002D63C4"/>
    <w:rsid w:val="002E21ED"/>
    <w:rsid w:val="002F46B8"/>
    <w:rsid w:val="0030516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942C1"/>
    <w:rsid w:val="003A2441"/>
    <w:rsid w:val="003B0305"/>
    <w:rsid w:val="003B28AC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479DA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125C"/>
    <w:rsid w:val="00502969"/>
    <w:rsid w:val="005172A4"/>
    <w:rsid w:val="00520ECB"/>
    <w:rsid w:val="00522AEC"/>
    <w:rsid w:val="0052328D"/>
    <w:rsid w:val="00551309"/>
    <w:rsid w:val="00571A5D"/>
    <w:rsid w:val="005862EA"/>
    <w:rsid w:val="00591BB3"/>
    <w:rsid w:val="005A1106"/>
    <w:rsid w:val="005A150E"/>
    <w:rsid w:val="005A1BD0"/>
    <w:rsid w:val="005B154D"/>
    <w:rsid w:val="005B52F3"/>
    <w:rsid w:val="005D5041"/>
    <w:rsid w:val="005D505A"/>
    <w:rsid w:val="005D6FD9"/>
    <w:rsid w:val="005D7484"/>
    <w:rsid w:val="005E39B9"/>
    <w:rsid w:val="005E74A2"/>
    <w:rsid w:val="005F15B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54FE"/>
    <w:rsid w:val="006F65E5"/>
    <w:rsid w:val="00703E23"/>
    <w:rsid w:val="00706628"/>
    <w:rsid w:val="00711645"/>
    <w:rsid w:val="00712D88"/>
    <w:rsid w:val="00713852"/>
    <w:rsid w:val="0071392A"/>
    <w:rsid w:val="00725CBA"/>
    <w:rsid w:val="0073173B"/>
    <w:rsid w:val="00734292"/>
    <w:rsid w:val="00740B3B"/>
    <w:rsid w:val="00742879"/>
    <w:rsid w:val="00745416"/>
    <w:rsid w:val="00746799"/>
    <w:rsid w:val="0078495F"/>
    <w:rsid w:val="00787114"/>
    <w:rsid w:val="007876AF"/>
    <w:rsid w:val="00794776"/>
    <w:rsid w:val="00794D59"/>
    <w:rsid w:val="00797F0D"/>
    <w:rsid w:val="007A1028"/>
    <w:rsid w:val="007A26AE"/>
    <w:rsid w:val="007A399F"/>
    <w:rsid w:val="007A5EC7"/>
    <w:rsid w:val="007C5C23"/>
    <w:rsid w:val="007C6206"/>
    <w:rsid w:val="007D469B"/>
    <w:rsid w:val="007F4382"/>
    <w:rsid w:val="007F74E5"/>
    <w:rsid w:val="00800EC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B54C1"/>
    <w:rsid w:val="008C3E2E"/>
    <w:rsid w:val="008C3FAC"/>
    <w:rsid w:val="008D4389"/>
    <w:rsid w:val="008D49CC"/>
    <w:rsid w:val="008D7AA9"/>
    <w:rsid w:val="008E5A11"/>
    <w:rsid w:val="008F319F"/>
    <w:rsid w:val="008F7B70"/>
    <w:rsid w:val="009009A3"/>
    <w:rsid w:val="0090339F"/>
    <w:rsid w:val="00906199"/>
    <w:rsid w:val="009155EE"/>
    <w:rsid w:val="009177AB"/>
    <w:rsid w:val="009212D8"/>
    <w:rsid w:val="00926DCC"/>
    <w:rsid w:val="009349A9"/>
    <w:rsid w:val="00934C6A"/>
    <w:rsid w:val="009627AB"/>
    <w:rsid w:val="00963F09"/>
    <w:rsid w:val="00984DFF"/>
    <w:rsid w:val="009866A6"/>
    <w:rsid w:val="00987957"/>
    <w:rsid w:val="00991D42"/>
    <w:rsid w:val="00993669"/>
    <w:rsid w:val="00994D50"/>
    <w:rsid w:val="00995AB2"/>
    <w:rsid w:val="009A2F2B"/>
    <w:rsid w:val="009B59A1"/>
    <w:rsid w:val="009B5D58"/>
    <w:rsid w:val="009B5F7D"/>
    <w:rsid w:val="009C2F1C"/>
    <w:rsid w:val="009E4256"/>
    <w:rsid w:val="009E659E"/>
    <w:rsid w:val="00A02622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C474F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7367"/>
    <w:rsid w:val="00B346C5"/>
    <w:rsid w:val="00B465D8"/>
    <w:rsid w:val="00B5172B"/>
    <w:rsid w:val="00B53900"/>
    <w:rsid w:val="00B64B0B"/>
    <w:rsid w:val="00B67FE3"/>
    <w:rsid w:val="00B743DE"/>
    <w:rsid w:val="00B80C20"/>
    <w:rsid w:val="00B80D6C"/>
    <w:rsid w:val="00B8611B"/>
    <w:rsid w:val="00B934D7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2222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E6945"/>
    <w:rsid w:val="00CF6D0B"/>
    <w:rsid w:val="00D001BE"/>
    <w:rsid w:val="00D0763A"/>
    <w:rsid w:val="00D10FC6"/>
    <w:rsid w:val="00D34E9B"/>
    <w:rsid w:val="00D44EB6"/>
    <w:rsid w:val="00D4563C"/>
    <w:rsid w:val="00D46A1D"/>
    <w:rsid w:val="00D47713"/>
    <w:rsid w:val="00D55F91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0EBC"/>
    <w:rsid w:val="00E72C43"/>
    <w:rsid w:val="00E90741"/>
    <w:rsid w:val="00E92D56"/>
    <w:rsid w:val="00EA273C"/>
    <w:rsid w:val="00EA3719"/>
    <w:rsid w:val="00EA41C7"/>
    <w:rsid w:val="00EA79EA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376E4"/>
    <w:rsid w:val="00F477B7"/>
    <w:rsid w:val="00F56AC0"/>
    <w:rsid w:val="00F74168"/>
    <w:rsid w:val="00F91835"/>
    <w:rsid w:val="00F9535F"/>
    <w:rsid w:val="00FA20EA"/>
    <w:rsid w:val="00FB1074"/>
    <w:rsid w:val="00FB4336"/>
    <w:rsid w:val="00FC16AD"/>
    <w:rsid w:val="00FD256B"/>
    <w:rsid w:val="00FE6C41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E71F-B8BB-4953-A45C-F15658AA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191</cp:revision>
  <cp:lastPrinted>2020-03-02T06:48:00Z</cp:lastPrinted>
  <dcterms:created xsi:type="dcterms:W3CDTF">2020-02-27T13:07:00Z</dcterms:created>
  <dcterms:modified xsi:type="dcterms:W3CDTF">2020-12-03T13:12:00Z</dcterms:modified>
</cp:coreProperties>
</file>