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16" w:rsidRPr="00EA3824" w:rsidRDefault="00B4359B" w:rsidP="003B3391">
      <w:pPr>
        <w:spacing w:after="120" w:line="240" w:lineRule="auto"/>
        <w:contextualSpacing/>
        <w:jc w:val="center"/>
        <w:rPr>
          <w:rFonts w:ascii="Times New Roman" w:hAnsi="Times New Roman" w:cs="Times New Roman"/>
          <w:b/>
          <w:sz w:val="20"/>
          <w:szCs w:val="20"/>
        </w:rPr>
      </w:pPr>
      <w:r w:rsidRPr="00EA3824">
        <w:rPr>
          <w:rFonts w:ascii="Times New Roman" w:hAnsi="Times New Roman" w:cs="Times New Roman"/>
          <w:b/>
          <w:sz w:val="20"/>
          <w:szCs w:val="20"/>
        </w:rPr>
        <w:t xml:space="preserve">ПРЕДЛОЖЕНИЯ ПО ВНЕСЕНИЮ ИЗМЕНЕНИЙ В УСТАВ </w:t>
      </w:r>
      <w:bookmarkStart w:id="0" w:name="_GoBack"/>
      <w:bookmarkEnd w:id="0"/>
    </w:p>
    <w:p w:rsidR="00B4359B" w:rsidRPr="00EA3824" w:rsidRDefault="00B4359B" w:rsidP="003B3391">
      <w:pPr>
        <w:spacing w:after="120" w:line="240" w:lineRule="auto"/>
        <w:contextualSpacing/>
        <w:jc w:val="both"/>
        <w:rPr>
          <w:rFonts w:ascii="Times New Roman" w:hAnsi="Times New Roman" w:cs="Times New Roman"/>
          <w:b/>
          <w:sz w:val="20"/>
          <w:szCs w:val="20"/>
        </w:rPr>
      </w:pPr>
    </w:p>
    <w:tbl>
      <w:tblPr>
        <w:tblStyle w:val="a3"/>
        <w:tblW w:w="22681" w:type="dxa"/>
        <w:tblInd w:w="-318" w:type="dxa"/>
        <w:tblLayout w:type="fixed"/>
        <w:tblLook w:val="04A0" w:firstRow="1" w:lastRow="0" w:firstColumn="1" w:lastColumn="0" w:noHBand="0" w:noVBand="1"/>
      </w:tblPr>
      <w:tblGrid>
        <w:gridCol w:w="425"/>
        <w:gridCol w:w="8648"/>
        <w:gridCol w:w="8647"/>
        <w:gridCol w:w="4961"/>
      </w:tblGrid>
      <w:tr w:rsidR="00C350E3" w:rsidRPr="00EA3824" w:rsidTr="00C350E3">
        <w:trPr>
          <w:trHeight w:val="567"/>
        </w:trPr>
        <w:tc>
          <w:tcPr>
            <w:tcW w:w="425" w:type="dxa"/>
            <w:shd w:val="clear" w:color="auto" w:fill="F2F2F2" w:themeFill="background1" w:themeFillShade="F2"/>
            <w:vAlign w:val="center"/>
          </w:tcPr>
          <w:p w:rsidR="00C350E3" w:rsidRPr="00EA3824" w:rsidRDefault="00C350E3" w:rsidP="003B3391">
            <w:pPr>
              <w:keepLines/>
              <w:spacing w:after="120"/>
              <w:contextualSpacing/>
              <w:jc w:val="center"/>
              <w:rPr>
                <w:rFonts w:ascii="Times New Roman" w:hAnsi="Times New Roman" w:cs="Times New Roman"/>
                <w:b/>
                <w:sz w:val="20"/>
                <w:szCs w:val="20"/>
              </w:rPr>
            </w:pPr>
            <w:r w:rsidRPr="00EA3824">
              <w:rPr>
                <w:rFonts w:ascii="Times New Roman" w:hAnsi="Times New Roman" w:cs="Times New Roman"/>
                <w:b/>
                <w:sz w:val="20"/>
                <w:szCs w:val="20"/>
              </w:rPr>
              <w:t>№</w:t>
            </w:r>
          </w:p>
        </w:tc>
        <w:tc>
          <w:tcPr>
            <w:tcW w:w="8648" w:type="dxa"/>
            <w:shd w:val="clear" w:color="auto" w:fill="F2F2F2" w:themeFill="background1" w:themeFillShade="F2"/>
            <w:vAlign w:val="center"/>
          </w:tcPr>
          <w:p w:rsidR="00C350E3" w:rsidRPr="00EA3824" w:rsidRDefault="00C350E3" w:rsidP="003B3391">
            <w:pPr>
              <w:keepLines/>
              <w:spacing w:after="120"/>
              <w:contextualSpacing/>
              <w:jc w:val="center"/>
              <w:rPr>
                <w:rFonts w:ascii="Times New Roman" w:hAnsi="Times New Roman" w:cs="Times New Roman"/>
                <w:b/>
                <w:sz w:val="20"/>
                <w:szCs w:val="20"/>
              </w:rPr>
            </w:pPr>
            <w:r w:rsidRPr="00EA3824">
              <w:rPr>
                <w:rFonts w:ascii="Times New Roman" w:hAnsi="Times New Roman" w:cs="Times New Roman"/>
                <w:b/>
                <w:sz w:val="20"/>
                <w:szCs w:val="20"/>
              </w:rPr>
              <w:t>СУЩЕСТВУЮЩАЯ НОРМА</w:t>
            </w:r>
          </w:p>
        </w:tc>
        <w:tc>
          <w:tcPr>
            <w:tcW w:w="8647" w:type="dxa"/>
            <w:shd w:val="clear" w:color="auto" w:fill="F2F2F2" w:themeFill="background1" w:themeFillShade="F2"/>
            <w:vAlign w:val="center"/>
          </w:tcPr>
          <w:p w:rsidR="00C350E3" w:rsidRPr="00EA3824" w:rsidRDefault="00C350E3" w:rsidP="003B3391">
            <w:pPr>
              <w:keepLines/>
              <w:spacing w:after="120"/>
              <w:contextualSpacing/>
              <w:jc w:val="center"/>
              <w:rPr>
                <w:rFonts w:ascii="Times New Roman" w:hAnsi="Times New Roman" w:cs="Times New Roman"/>
                <w:b/>
                <w:sz w:val="20"/>
                <w:szCs w:val="20"/>
              </w:rPr>
            </w:pPr>
            <w:r w:rsidRPr="00EA3824">
              <w:rPr>
                <w:rFonts w:ascii="Times New Roman" w:hAnsi="Times New Roman" w:cs="Times New Roman"/>
                <w:b/>
                <w:sz w:val="20"/>
                <w:szCs w:val="20"/>
              </w:rPr>
              <w:t>ПРЕДЛОЖЕНИЕ</w:t>
            </w:r>
          </w:p>
        </w:tc>
        <w:tc>
          <w:tcPr>
            <w:tcW w:w="4961" w:type="dxa"/>
            <w:shd w:val="clear" w:color="auto" w:fill="F2F2F2" w:themeFill="background1" w:themeFillShade="F2"/>
            <w:vAlign w:val="center"/>
          </w:tcPr>
          <w:p w:rsidR="00C350E3" w:rsidRPr="00EA3824" w:rsidRDefault="00C350E3" w:rsidP="003B3391">
            <w:pPr>
              <w:keepLines/>
              <w:spacing w:after="120"/>
              <w:contextualSpacing/>
              <w:jc w:val="center"/>
              <w:rPr>
                <w:rFonts w:ascii="Times New Roman" w:hAnsi="Times New Roman" w:cs="Times New Roman"/>
                <w:b/>
                <w:sz w:val="20"/>
                <w:szCs w:val="20"/>
              </w:rPr>
            </w:pPr>
            <w:r w:rsidRPr="00EA3824">
              <w:rPr>
                <w:rFonts w:ascii="Times New Roman" w:hAnsi="Times New Roman" w:cs="Times New Roman"/>
                <w:b/>
                <w:sz w:val="20"/>
                <w:szCs w:val="20"/>
              </w:rPr>
              <w:t>КОММЕНТАРИЙ</w:t>
            </w:r>
          </w:p>
        </w:tc>
      </w:tr>
      <w:tr w:rsidR="00EF2EE3" w:rsidRPr="00EF2EE3" w:rsidTr="007F538A">
        <w:trPr>
          <w:trHeight w:val="567"/>
        </w:trPr>
        <w:tc>
          <w:tcPr>
            <w:tcW w:w="22681" w:type="dxa"/>
            <w:gridSpan w:val="4"/>
            <w:vAlign w:val="center"/>
          </w:tcPr>
          <w:p w:rsidR="00EF2EE3" w:rsidRPr="00EF2EE3" w:rsidRDefault="00EF2EE3" w:rsidP="00860D71">
            <w:pPr>
              <w:spacing w:after="120"/>
              <w:contextualSpacing/>
              <w:jc w:val="center"/>
              <w:rPr>
                <w:rFonts w:ascii="Times New Roman" w:hAnsi="Times New Roman" w:cs="Times New Roman"/>
                <w:b/>
                <w:sz w:val="20"/>
                <w:szCs w:val="20"/>
              </w:rPr>
            </w:pPr>
            <w:r w:rsidRPr="00EF2EE3">
              <w:rPr>
                <w:rFonts w:ascii="Times New Roman" w:hAnsi="Times New Roman" w:cs="Times New Roman"/>
                <w:b/>
                <w:sz w:val="20"/>
                <w:szCs w:val="20"/>
              </w:rPr>
              <w:t>УСТАВ ОГК-2</w:t>
            </w:r>
          </w:p>
        </w:tc>
      </w:tr>
      <w:tr w:rsidR="00C350E3" w:rsidRPr="00EA3824" w:rsidTr="00C350E3">
        <w:trPr>
          <w:trHeight w:val="567"/>
        </w:trPr>
        <w:tc>
          <w:tcPr>
            <w:tcW w:w="425" w:type="dxa"/>
            <w:vAlign w:val="center"/>
          </w:tcPr>
          <w:p w:rsidR="00C350E3" w:rsidRPr="00EA3824" w:rsidRDefault="00C350E3" w:rsidP="003B3391">
            <w:pPr>
              <w:pStyle w:val="ae"/>
              <w:keepLines/>
              <w:numPr>
                <w:ilvl w:val="0"/>
                <w:numId w:val="2"/>
              </w:numPr>
              <w:spacing w:after="120"/>
              <w:ind w:left="0" w:firstLine="0"/>
              <w:jc w:val="both"/>
              <w:rPr>
                <w:rFonts w:ascii="Times New Roman" w:hAnsi="Times New Roman" w:cs="Times New Roman"/>
                <w:b/>
                <w:sz w:val="20"/>
                <w:szCs w:val="20"/>
              </w:rPr>
            </w:pPr>
          </w:p>
        </w:tc>
        <w:tc>
          <w:tcPr>
            <w:tcW w:w="8648" w:type="dxa"/>
            <w:vAlign w:val="center"/>
          </w:tcPr>
          <w:p w:rsidR="00C350E3" w:rsidRPr="00EA3824" w:rsidRDefault="00C350E3" w:rsidP="003B3391">
            <w:pPr>
              <w:spacing w:after="120"/>
              <w:ind w:firstLine="284"/>
              <w:contextualSpacing/>
              <w:jc w:val="both"/>
              <w:rPr>
                <w:rFonts w:ascii="Times New Roman" w:hAnsi="Times New Roman" w:cs="Times New Roman"/>
                <w:b/>
                <w:sz w:val="20"/>
                <w:szCs w:val="20"/>
              </w:rPr>
            </w:pPr>
            <w:r w:rsidRPr="00EA3824">
              <w:rPr>
                <w:rFonts w:ascii="Times New Roman" w:hAnsi="Times New Roman" w:cs="Times New Roman"/>
                <w:b/>
                <w:sz w:val="20"/>
                <w:szCs w:val="20"/>
              </w:rPr>
              <w:t>П.10.4</w:t>
            </w:r>
          </w:p>
          <w:p w:rsidR="00C350E3" w:rsidRPr="00EA3824" w:rsidRDefault="00C350E3" w:rsidP="003B3391">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Стоимость чистых активов Общества оценивается по данным бухгалтерского учета в порядке, устанавливаемом Министерством финансов Российской Федерации и федеральным органом исполнительной власти по рынку ценных бумаг</w:t>
            </w:r>
          </w:p>
        </w:tc>
        <w:tc>
          <w:tcPr>
            <w:tcW w:w="8647" w:type="dxa"/>
            <w:vAlign w:val="center"/>
          </w:tcPr>
          <w:p w:rsidR="00C350E3" w:rsidRPr="00EA3824" w:rsidRDefault="00C350E3" w:rsidP="00CE69C2">
            <w:pPr>
              <w:spacing w:after="120"/>
              <w:ind w:firstLine="284"/>
              <w:contextualSpacing/>
              <w:jc w:val="both"/>
              <w:rPr>
                <w:rFonts w:ascii="Times New Roman" w:hAnsi="Times New Roman" w:cs="Times New Roman"/>
                <w:i/>
                <w:sz w:val="20"/>
                <w:szCs w:val="20"/>
              </w:rPr>
            </w:pPr>
            <w:r w:rsidRPr="00EA3824">
              <w:rPr>
                <w:rFonts w:ascii="Times New Roman" w:hAnsi="Times New Roman" w:cs="Times New Roman"/>
                <w:i/>
                <w:sz w:val="20"/>
                <w:szCs w:val="20"/>
              </w:rPr>
              <w:t>Изложить в следующей редакции:</w:t>
            </w:r>
          </w:p>
          <w:p w:rsidR="00C350E3" w:rsidRPr="00EA3824" w:rsidRDefault="00C350E3" w:rsidP="003E2622">
            <w:pPr>
              <w:spacing w:after="120"/>
              <w:ind w:firstLine="284"/>
              <w:contextualSpacing/>
              <w:jc w:val="both"/>
              <w:rPr>
                <w:rFonts w:ascii="Times New Roman" w:hAnsi="Times New Roman" w:cs="Times New Roman"/>
                <w:i/>
                <w:sz w:val="20"/>
                <w:szCs w:val="20"/>
              </w:rPr>
            </w:pPr>
            <w:r w:rsidRPr="00EA3824">
              <w:rPr>
                <w:rFonts w:ascii="Times New Roman" w:hAnsi="Times New Roman" w:cs="Times New Roman"/>
                <w:sz w:val="20"/>
                <w:szCs w:val="20"/>
              </w:rPr>
              <w:t>Стоимость чистых активов Общества оценивается по данным бухгалтерского учета в порядке, устанавливаемом Министерством финансов Российской Федерации и Банком России.</w:t>
            </w:r>
          </w:p>
        </w:tc>
        <w:tc>
          <w:tcPr>
            <w:tcW w:w="4961" w:type="dxa"/>
            <w:vAlign w:val="center"/>
          </w:tcPr>
          <w:p w:rsidR="00C350E3" w:rsidRPr="00EA3824" w:rsidRDefault="00C350E3" w:rsidP="005D0080">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В связи с упразднением ФСФР и передачей ее функций Банку России</w:t>
            </w:r>
          </w:p>
        </w:tc>
      </w:tr>
      <w:tr w:rsidR="00C350E3" w:rsidRPr="00EA3824" w:rsidTr="00C350E3">
        <w:trPr>
          <w:trHeight w:val="567"/>
        </w:trPr>
        <w:tc>
          <w:tcPr>
            <w:tcW w:w="425" w:type="dxa"/>
            <w:vAlign w:val="center"/>
          </w:tcPr>
          <w:p w:rsidR="00C350E3" w:rsidRPr="00EA3824" w:rsidRDefault="00C350E3" w:rsidP="003B3391">
            <w:pPr>
              <w:pStyle w:val="ae"/>
              <w:keepLines/>
              <w:numPr>
                <w:ilvl w:val="0"/>
                <w:numId w:val="2"/>
              </w:numPr>
              <w:spacing w:after="120"/>
              <w:ind w:left="0" w:firstLine="0"/>
              <w:jc w:val="both"/>
              <w:rPr>
                <w:rFonts w:ascii="Times New Roman" w:hAnsi="Times New Roman" w:cs="Times New Roman"/>
                <w:b/>
                <w:sz w:val="20"/>
                <w:szCs w:val="20"/>
              </w:rPr>
            </w:pPr>
          </w:p>
        </w:tc>
        <w:tc>
          <w:tcPr>
            <w:tcW w:w="8648" w:type="dxa"/>
            <w:vAlign w:val="center"/>
          </w:tcPr>
          <w:p w:rsidR="00C350E3" w:rsidRPr="00EA3824" w:rsidRDefault="00C350E3" w:rsidP="003B3391">
            <w:pPr>
              <w:spacing w:after="120"/>
              <w:ind w:firstLine="284"/>
              <w:contextualSpacing/>
              <w:jc w:val="both"/>
              <w:rPr>
                <w:rFonts w:ascii="Times New Roman" w:hAnsi="Times New Roman" w:cs="Times New Roman"/>
                <w:b/>
                <w:sz w:val="20"/>
                <w:szCs w:val="20"/>
              </w:rPr>
            </w:pPr>
            <w:r w:rsidRPr="00EA3824">
              <w:rPr>
                <w:rFonts w:ascii="Times New Roman" w:hAnsi="Times New Roman" w:cs="Times New Roman"/>
                <w:b/>
                <w:sz w:val="20"/>
                <w:szCs w:val="20"/>
              </w:rPr>
              <w:t>П. 12.3. ст. 12</w:t>
            </w:r>
          </w:p>
          <w:p w:rsidR="00C350E3" w:rsidRPr="00EA3824" w:rsidRDefault="00C350E3" w:rsidP="003B3391">
            <w:pPr>
              <w:tabs>
                <w:tab w:val="left" w:pos="5766"/>
              </w:tabs>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Решение о выплате дивидендов, размере дивиденда, сроке и порядке его выплаты по акциям каждой категории принимается Общим собранием акционеров Общества. Размер дивидендов не может быть больше рекомендованного Советом директоров Общества. Срок выплаты дивидендов не может превышать 60 (Шестьдесят) дней со дня принятия решения о выплате дивидендов. Общество не вправе предоставлять преимущество в сроках выплат дивидендов отдельным владельцам акций одной категории. Выплата объявленных дивидендов по акциям каждой категории должна осуществляться одновременно всем владельцам акций данной категории.</w:t>
            </w:r>
          </w:p>
        </w:tc>
        <w:tc>
          <w:tcPr>
            <w:tcW w:w="8647" w:type="dxa"/>
            <w:vAlign w:val="center"/>
          </w:tcPr>
          <w:p w:rsidR="00C350E3" w:rsidRPr="00EA3824" w:rsidRDefault="00C350E3" w:rsidP="003B3391">
            <w:pPr>
              <w:spacing w:after="120"/>
              <w:ind w:firstLine="284"/>
              <w:contextualSpacing/>
              <w:jc w:val="both"/>
              <w:rPr>
                <w:rFonts w:ascii="Times New Roman" w:hAnsi="Times New Roman" w:cs="Times New Roman"/>
                <w:i/>
                <w:sz w:val="20"/>
                <w:szCs w:val="20"/>
              </w:rPr>
            </w:pPr>
            <w:r w:rsidRPr="00EA3824">
              <w:rPr>
                <w:rFonts w:ascii="Times New Roman" w:hAnsi="Times New Roman" w:cs="Times New Roman"/>
                <w:i/>
                <w:sz w:val="20"/>
                <w:szCs w:val="20"/>
              </w:rPr>
              <w:t>Изложить в следующей редакции:</w:t>
            </w:r>
          </w:p>
          <w:p w:rsidR="00C350E3" w:rsidRPr="00EA3824" w:rsidRDefault="00C350E3" w:rsidP="003B3391">
            <w:pPr>
              <w:spacing w:after="120"/>
              <w:ind w:firstLine="284"/>
              <w:contextualSpacing/>
              <w:jc w:val="both"/>
              <w:rPr>
                <w:rFonts w:ascii="Times New Roman" w:hAnsi="Times New Roman" w:cs="Times New Roman"/>
                <w:i/>
                <w:sz w:val="20"/>
                <w:szCs w:val="20"/>
              </w:rPr>
            </w:pPr>
            <w:r w:rsidRPr="00EA3824">
              <w:rPr>
                <w:rFonts w:ascii="Times New Roman" w:hAnsi="Times New Roman" w:cs="Times New Roman"/>
                <w:sz w:val="20"/>
                <w:szCs w:val="20"/>
              </w:rPr>
              <w:t>Решение о выплате дивидендов</w:t>
            </w:r>
            <w:r w:rsidRPr="00EA3824">
              <w:rPr>
                <w:rFonts w:ascii="Times New Roman" w:hAnsi="Times New Roman" w:cs="Times New Roman"/>
                <w:strike/>
                <w:sz w:val="20"/>
                <w:szCs w:val="20"/>
              </w:rPr>
              <w:t>, размере дивиденда, сроке и порядке его выплаты по акциям каждой категории</w:t>
            </w:r>
            <w:r w:rsidRPr="00EA3824">
              <w:rPr>
                <w:rFonts w:ascii="Times New Roman" w:hAnsi="Times New Roman" w:cs="Times New Roman"/>
                <w:sz w:val="20"/>
                <w:szCs w:val="20"/>
              </w:rPr>
              <w:t xml:space="preserve"> принимается Общим собранием акционеров Общества. Размер дивидендов не может быть больше рекомендованного Советом директоров Общества. </w:t>
            </w:r>
            <w:r w:rsidRPr="00EA3824">
              <w:rPr>
                <w:rFonts w:ascii="Times New Roman" w:hAnsi="Times New Roman" w:cs="Times New Roman"/>
                <w:strike/>
                <w:sz w:val="20"/>
                <w:szCs w:val="20"/>
              </w:rPr>
              <w:t>Срок выплаты дивидендов не может превышать 60 (Шестьдесят) дней со дня принятия решения о выплате дивидендов. Общество не вправе предоставлять преимущество в сроках выплат дивидендов отдельным владельцам акций одной категории. Выплата объявленных дивидендов по акциям каждой категории должна осуществляться одновременно всем владельцам акций данной категории.</w:t>
            </w:r>
          </w:p>
        </w:tc>
        <w:tc>
          <w:tcPr>
            <w:tcW w:w="4961" w:type="dxa"/>
            <w:vAlign w:val="center"/>
          </w:tcPr>
          <w:p w:rsidR="00C350E3" w:rsidRPr="00EA3824" w:rsidRDefault="00C350E3" w:rsidP="003B3391">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Вступление в силу изменений в ФЗ «Об акционерных обществах» (в ред. ФЗ 29.12.2012 N 282-ФЗ).</w:t>
            </w:r>
          </w:p>
        </w:tc>
      </w:tr>
      <w:tr w:rsidR="00C350E3" w:rsidRPr="00EA3824" w:rsidTr="00C350E3">
        <w:trPr>
          <w:trHeight w:val="567"/>
        </w:trPr>
        <w:tc>
          <w:tcPr>
            <w:tcW w:w="425" w:type="dxa"/>
            <w:vAlign w:val="center"/>
          </w:tcPr>
          <w:p w:rsidR="00C350E3" w:rsidRPr="00EA3824" w:rsidRDefault="00C350E3" w:rsidP="003B3391">
            <w:pPr>
              <w:pStyle w:val="ae"/>
              <w:keepLines/>
              <w:numPr>
                <w:ilvl w:val="0"/>
                <w:numId w:val="2"/>
              </w:numPr>
              <w:spacing w:after="120"/>
              <w:ind w:left="0" w:firstLine="0"/>
              <w:jc w:val="both"/>
              <w:rPr>
                <w:rFonts w:ascii="Times New Roman" w:hAnsi="Times New Roman" w:cs="Times New Roman"/>
                <w:b/>
                <w:sz w:val="20"/>
                <w:szCs w:val="20"/>
              </w:rPr>
            </w:pPr>
          </w:p>
        </w:tc>
        <w:tc>
          <w:tcPr>
            <w:tcW w:w="8648" w:type="dxa"/>
            <w:vAlign w:val="center"/>
          </w:tcPr>
          <w:p w:rsidR="00C350E3" w:rsidRPr="00EA3824" w:rsidRDefault="00C350E3" w:rsidP="003B3391">
            <w:pPr>
              <w:spacing w:after="120"/>
              <w:ind w:firstLine="284"/>
              <w:contextualSpacing/>
              <w:jc w:val="both"/>
              <w:rPr>
                <w:rFonts w:ascii="Times New Roman" w:hAnsi="Times New Roman" w:cs="Times New Roman"/>
                <w:b/>
                <w:sz w:val="20"/>
                <w:szCs w:val="20"/>
              </w:rPr>
            </w:pPr>
            <w:r w:rsidRPr="00EA3824">
              <w:rPr>
                <w:rFonts w:ascii="Times New Roman" w:hAnsi="Times New Roman" w:cs="Times New Roman"/>
                <w:b/>
                <w:sz w:val="20"/>
                <w:szCs w:val="20"/>
              </w:rPr>
              <w:t>П. 12.4. ст. 12</w:t>
            </w:r>
          </w:p>
          <w:p w:rsidR="00C350E3" w:rsidRPr="00EA3824" w:rsidRDefault="00C350E3" w:rsidP="003B3391">
            <w:pPr>
              <w:pStyle w:val="2"/>
              <w:widowControl/>
              <w:spacing w:after="120"/>
              <w:ind w:firstLine="284"/>
              <w:contextualSpacing/>
              <w:rPr>
                <w:color w:val="auto"/>
                <w:sz w:val="20"/>
              </w:rPr>
            </w:pPr>
            <w:r w:rsidRPr="00EA3824">
              <w:rPr>
                <w:color w:val="auto"/>
                <w:sz w:val="20"/>
              </w:rPr>
              <w:t xml:space="preserve">С момента вступления в силу пункта 8 статьи 2 Федерального закона от 29.12.2012 №282-ФЗ «О внесении изменений в отдельные законодательные акты Российской Федерации и признании </w:t>
            </w:r>
            <w:proofErr w:type="gramStart"/>
            <w:r w:rsidRPr="00EA3824">
              <w:rPr>
                <w:color w:val="auto"/>
                <w:sz w:val="20"/>
              </w:rPr>
              <w:t>утратившими</w:t>
            </w:r>
            <w:proofErr w:type="gramEnd"/>
            <w:r w:rsidRPr="00EA3824">
              <w:rPr>
                <w:color w:val="auto"/>
                <w:sz w:val="20"/>
              </w:rPr>
              <w:t xml:space="preserve"> силу отдельных положений законодательных актов Российской Федерации» выплата дивидендов Обществом должна осуществляться с учетом положений настоящего пункта.</w:t>
            </w:r>
          </w:p>
          <w:p w:rsidR="00C350E3" w:rsidRPr="00EA3824" w:rsidRDefault="00C350E3" w:rsidP="003B3391">
            <w:pPr>
              <w:pStyle w:val="2"/>
              <w:widowControl/>
              <w:spacing w:after="120"/>
              <w:ind w:firstLine="284"/>
              <w:contextualSpacing/>
              <w:rPr>
                <w:color w:val="auto"/>
                <w:sz w:val="20"/>
              </w:rPr>
            </w:pPr>
            <w:r w:rsidRPr="00EA3824">
              <w:rPr>
                <w:color w:val="auto"/>
                <w:sz w:val="20"/>
              </w:rPr>
              <w:t xml:space="preserve">Решением Общего собрания акционеров Общества о выплате дивидендов должны быть определены размер дивидендов по акциям каждой категории (типа), форма их выплаты, порядок выплаты дивидендов в </w:t>
            </w:r>
            <w:proofErr w:type="spellStart"/>
            <w:r w:rsidRPr="00EA3824">
              <w:rPr>
                <w:color w:val="auto"/>
                <w:sz w:val="20"/>
              </w:rPr>
              <w:t>неденежной</w:t>
            </w:r>
            <w:proofErr w:type="spellEnd"/>
            <w:r w:rsidRPr="00EA3824">
              <w:rPr>
                <w:color w:val="auto"/>
                <w:sz w:val="20"/>
              </w:rPr>
              <w:t xml:space="preserve"> форме, дата, на которую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 Общества. </w:t>
            </w:r>
          </w:p>
          <w:p w:rsidR="00C350E3" w:rsidRPr="00EA3824" w:rsidRDefault="00C350E3" w:rsidP="003B3391">
            <w:pPr>
              <w:pStyle w:val="2"/>
              <w:widowControl/>
              <w:spacing w:after="120"/>
              <w:ind w:firstLine="284"/>
              <w:contextualSpacing/>
              <w:rPr>
                <w:color w:val="auto"/>
                <w:sz w:val="20"/>
              </w:rPr>
            </w:pPr>
            <w:r w:rsidRPr="00EA3824">
              <w:rPr>
                <w:color w:val="auto"/>
                <w:sz w:val="20"/>
              </w:rPr>
              <w:t>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- 25 рабочих дней с даты, на которую определяются лица, имеющие право на получение дивидендов. Решением о выплате (объявлении) дивидендов может быть определен меньший срок выплаты дивидендов.</w:t>
            </w:r>
          </w:p>
        </w:tc>
        <w:tc>
          <w:tcPr>
            <w:tcW w:w="8647" w:type="dxa"/>
            <w:vAlign w:val="center"/>
          </w:tcPr>
          <w:p w:rsidR="00C350E3" w:rsidRPr="00EA3824" w:rsidRDefault="00C350E3" w:rsidP="003B3391">
            <w:pPr>
              <w:spacing w:after="120"/>
              <w:ind w:firstLine="284"/>
              <w:contextualSpacing/>
              <w:jc w:val="both"/>
              <w:rPr>
                <w:rFonts w:ascii="Times New Roman" w:hAnsi="Times New Roman" w:cs="Times New Roman"/>
                <w:i/>
                <w:sz w:val="20"/>
                <w:szCs w:val="20"/>
              </w:rPr>
            </w:pPr>
            <w:r w:rsidRPr="00EA3824">
              <w:rPr>
                <w:rFonts w:ascii="Times New Roman" w:hAnsi="Times New Roman" w:cs="Times New Roman"/>
                <w:i/>
                <w:sz w:val="20"/>
                <w:szCs w:val="20"/>
              </w:rPr>
              <w:t>Изложить в следующей редакции:</w:t>
            </w:r>
          </w:p>
          <w:p w:rsidR="00C350E3" w:rsidRPr="00EA3824" w:rsidRDefault="00C350E3" w:rsidP="003B3391">
            <w:pPr>
              <w:pStyle w:val="2"/>
              <w:widowControl/>
              <w:spacing w:after="120"/>
              <w:ind w:firstLine="284"/>
              <w:contextualSpacing/>
              <w:rPr>
                <w:strike/>
                <w:color w:val="auto"/>
                <w:sz w:val="20"/>
              </w:rPr>
            </w:pPr>
            <w:r w:rsidRPr="00EA3824">
              <w:rPr>
                <w:strike/>
                <w:color w:val="auto"/>
                <w:sz w:val="20"/>
              </w:rPr>
              <w:t xml:space="preserve">С момента вступления в силу пункта 8 статьи 2 Федерального закона от 29.12.2012 №282-ФЗ «О внесении изменений в отдельные законодательные акты Российской Федерации и признании </w:t>
            </w:r>
            <w:proofErr w:type="gramStart"/>
            <w:r w:rsidRPr="00EA3824">
              <w:rPr>
                <w:strike/>
                <w:color w:val="auto"/>
                <w:sz w:val="20"/>
              </w:rPr>
              <w:t>утратившими</w:t>
            </w:r>
            <w:proofErr w:type="gramEnd"/>
            <w:r w:rsidRPr="00EA3824">
              <w:rPr>
                <w:strike/>
                <w:color w:val="auto"/>
                <w:sz w:val="20"/>
              </w:rPr>
              <w:t xml:space="preserve"> силу отдельных положений законодательных актов Российской Федерации» выплата дивидендов Обществом должна осуществляться с учетом положений настоящего пункта.</w:t>
            </w:r>
          </w:p>
          <w:p w:rsidR="00C350E3" w:rsidRPr="00EA3824" w:rsidRDefault="00C350E3" w:rsidP="003B3391">
            <w:pPr>
              <w:pStyle w:val="2"/>
              <w:widowControl/>
              <w:spacing w:after="120"/>
              <w:ind w:firstLine="284"/>
              <w:contextualSpacing/>
              <w:rPr>
                <w:color w:val="auto"/>
                <w:sz w:val="20"/>
              </w:rPr>
            </w:pPr>
            <w:r w:rsidRPr="00EA3824">
              <w:rPr>
                <w:color w:val="auto"/>
                <w:sz w:val="20"/>
              </w:rPr>
              <w:t xml:space="preserve">Решением Общего собрания акционеров Общества о выплате дивидендов должны быть определены размер дивидендов по акциям каждой категории (типа), форма их выплаты, порядок выплаты дивидендов в </w:t>
            </w:r>
            <w:proofErr w:type="spellStart"/>
            <w:r w:rsidRPr="00EA3824">
              <w:rPr>
                <w:color w:val="auto"/>
                <w:sz w:val="20"/>
              </w:rPr>
              <w:t>неденежной</w:t>
            </w:r>
            <w:proofErr w:type="spellEnd"/>
            <w:r w:rsidRPr="00EA3824">
              <w:rPr>
                <w:color w:val="auto"/>
                <w:sz w:val="20"/>
              </w:rPr>
              <w:t xml:space="preserve"> форме, дата, на которую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 Общества.</w:t>
            </w:r>
          </w:p>
          <w:p w:rsidR="00C350E3" w:rsidRPr="00EA3824" w:rsidRDefault="00C350E3" w:rsidP="003B3391">
            <w:pPr>
              <w:pStyle w:val="2"/>
              <w:widowControl/>
              <w:spacing w:after="120"/>
              <w:ind w:firstLine="284"/>
              <w:contextualSpacing/>
              <w:rPr>
                <w:b/>
                <w:color w:val="auto"/>
                <w:sz w:val="20"/>
              </w:rPr>
            </w:pPr>
            <w:r w:rsidRPr="00EA3824">
              <w:rPr>
                <w:b/>
                <w:color w:val="auto"/>
                <w:sz w:val="20"/>
              </w:rPr>
              <w:t xml:space="preserve">Дата, на которую в соответствии с решением о выплате (объявлении) дивидендов определяются лица, имеющие право на их получение, не может быть установлена ранее 10 дней </w:t>
            </w:r>
            <w:proofErr w:type="gramStart"/>
            <w:r w:rsidRPr="00EA3824">
              <w:rPr>
                <w:b/>
                <w:color w:val="auto"/>
                <w:sz w:val="20"/>
              </w:rPr>
              <w:t>с даты принятия</w:t>
            </w:r>
            <w:proofErr w:type="gramEnd"/>
            <w:r w:rsidRPr="00EA3824">
              <w:rPr>
                <w:b/>
                <w:color w:val="auto"/>
                <w:sz w:val="20"/>
              </w:rPr>
              <w:t xml:space="preserve"> решения о выплате (объявлении) дивидендов и позднее 20 дней с даты принятия такого решения.</w:t>
            </w:r>
          </w:p>
          <w:p w:rsidR="00C350E3" w:rsidRPr="00EA3824" w:rsidRDefault="00C350E3" w:rsidP="003B3391">
            <w:pPr>
              <w:pStyle w:val="2"/>
              <w:widowControl/>
              <w:spacing w:after="120"/>
              <w:ind w:firstLine="284"/>
              <w:contextualSpacing/>
              <w:rPr>
                <w:color w:val="auto"/>
                <w:sz w:val="20"/>
              </w:rPr>
            </w:pPr>
            <w:r w:rsidRPr="00EA3824">
              <w:rPr>
                <w:color w:val="auto"/>
                <w:sz w:val="20"/>
              </w:rPr>
              <w:t xml:space="preserve">Срок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не должен превышать 10 рабочих дней, а другим зарегистрированным в реестре акционеров лицам - 25 рабочих дней с даты, на которую определяются лица, имеющие право на получение дивидендов. </w:t>
            </w:r>
            <w:r w:rsidRPr="00EA3824">
              <w:rPr>
                <w:strike/>
                <w:color w:val="auto"/>
                <w:sz w:val="20"/>
              </w:rPr>
              <w:t>Решением о выплате (объявлении) дивидендов может быть определен меньший срок выплаты дивидендов.</w:t>
            </w:r>
          </w:p>
        </w:tc>
        <w:tc>
          <w:tcPr>
            <w:tcW w:w="4961" w:type="dxa"/>
            <w:vAlign w:val="center"/>
          </w:tcPr>
          <w:p w:rsidR="00C350E3" w:rsidRPr="00EA3824" w:rsidRDefault="00C350E3" w:rsidP="003B3391">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Вступление в силу изменений в ФЗ «Об акционерных обществах» (в ред. ФЗ 29.12.2012 N 282-ФЗ, а также ФЗ 21.12.2013 N 379-ФЗ).</w:t>
            </w:r>
          </w:p>
        </w:tc>
      </w:tr>
      <w:tr w:rsidR="00C350E3" w:rsidRPr="00EA3824" w:rsidTr="00C350E3">
        <w:trPr>
          <w:trHeight w:val="567"/>
        </w:trPr>
        <w:tc>
          <w:tcPr>
            <w:tcW w:w="425" w:type="dxa"/>
            <w:vAlign w:val="center"/>
          </w:tcPr>
          <w:p w:rsidR="00C350E3" w:rsidRPr="00EA3824" w:rsidRDefault="00C350E3" w:rsidP="003B3391">
            <w:pPr>
              <w:pStyle w:val="ae"/>
              <w:keepLines/>
              <w:numPr>
                <w:ilvl w:val="0"/>
                <w:numId w:val="2"/>
              </w:numPr>
              <w:spacing w:after="120"/>
              <w:ind w:left="0" w:firstLine="0"/>
              <w:jc w:val="both"/>
              <w:rPr>
                <w:rFonts w:ascii="Times New Roman" w:hAnsi="Times New Roman" w:cs="Times New Roman"/>
                <w:b/>
                <w:sz w:val="20"/>
                <w:szCs w:val="20"/>
              </w:rPr>
            </w:pPr>
          </w:p>
        </w:tc>
        <w:tc>
          <w:tcPr>
            <w:tcW w:w="8648" w:type="dxa"/>
            <w:vAlign w:val="center"/>
          </w:tcPr>
          <w:p w:rsidR="00C350E3" w:rsidRPr="00EA3824" w:rsidRDefault="00C350E3" w:rsidP="003B3391">
            <w:pPr>
              <w:spacing w:after="120"/>
              <w:ind w:firstLine="284"/>
              <w:contextualSpacing/>
              <w:jc w:val="both"/>
              <w:rPr>
                <w:rFonts w:ascii="Times New Roman" w:hAnsi="Times New Roman" w:cs="Times New Roman"/>
                <w:b/>
                <w:sz w:val="20"/>
                <w:szCs w:val="20"/>
              </w:rPr>
            </w:pPr>
            <w:r w:rsidRPr="00EA3824">
              <w:rPr>
                <w:rFonts w:ascii="Times New Roman" w:hAnsi="Times New Roman" w:cs="Times New Roman"/>
                <w:b/>
                <w:sz w:val="20"/>
                <w:szCs w:val="20"/>
              </w:rPr>
              <w:t>П. 17.12. ст. 17</w:t>
            </w:r>
          </w:p>
          <w:p w:rsidR="00C350E3" w:rsidRPr="00EA3824" w:rsidRDefault="00C350E3" w:rsidP="003B3391">
            <w:pPr>
              <w:pStyle w:val="2"/>
              <w:widowControl/>
              <w:spacing w:after="120"/>
              <w:ind w:firstLine="284"/>
              <w:contextualSpacing/>
              <w:rPr>
                <w:color w:val="auto"/>
                <w:sz w:val="20"/>
              </w:rPr>
            </w:pPr>
            <w:r w:rsidRPr="00EA3824">
              <w:rPr>
                <w:color w:val="auto"/>
                <w:sz w:val="20"/>
              </w:rPr>
              <w:t xml:space="preserve">Сообщение о проведении Общего собрания акционеров Общества должно быть сделано не позднее, чем за 20 (Двадцать) дней до даты его проведения, а сообщение о проведении годового Общего собрания акционеров Общества или о проведении Общего собрания акционеров Общества, повестка дня которого содержит вопрос о реорганизации Общества, – не </w:t>
            </w:r>
            <w:proofErr w:type="gramStart"/>
            <w:r w:rsidRPr="00EA3824">
              <w:rPr>
                <w:color w:val="auto"/>
                <w:sz w:val="20"/>
              </w:rPr>
              <w:t>позднее</w:t>
            </w:r>
            <w:proofErr w:type="gramEnd"/>
            <w:r w:rsidRPr="00EA3824">
              <w:rPr>
                <w:color w:val="auto"/>
                <w:sz w:val="20"/>
              </w:rPr>
              <w:t xml:space="preserve"> чем за 30 (Тридцать) дней до даты его проведения.</w:t>
            </w:r>
          </w:p>
          <w:p w:rsidR="00C350E3" w:rsidRPr="00EA3824" w:rsidRDefault="00C350E3" w:rsidP="003B3391">
            <w:pPr>
              <w:pStyle w:val="2"/>
              <w:widowControl/>
              <w:spacing w:after="120"/>
              <w:ind w:firstLine="284"/>
              <w:contextualSpacing/>
              <w:rPr>
                <w:color w:val="auto"/>
                <w:sz w:val="20"/>
              </w:rPr>
            </w:pPr>
            <w:proofErr w:type="gramStart"/>
            <w:r w:rsidRPr="00EA3824">
              <w:rPr>
                <w:color w:val="auto"/>
                <w:sz w:val="20"/>
              </w:rPr>
              <w:t>В указанные сроки сообщение должно быть направлено каждому лицу, указанному в списке лиц, имеющих право на участие в Общем собрании акционеров, или вручено каждому из указанных лиц под роспись либо опубликовано в доступном для всех акционеров Общества печатном издании – в газете «Известия» и (или) «Российская газета».</w:t>
            </w:r>
            <w:proofErr w:type="gramEnd"/>
          </w:p>
          <w:p w:rsidR="00C350E3" w:rsidRPr="00EA3824" w:rsidRDefault="00C350E3" w:rsidP="00CE4DF9">
            <w:pPr>
              <w:pStyle w:val="2"/>
              <w:widowControl/>
              <w:spacing w:after="120"/>
              <w:ind w:firstLine="284"/>
              <w:contextualSpacing/>
              <w:rPr>
                <w:color w:val="auto"/>
                <w:sz w:val="20"/>
              </w:rPr>
            </w:pPr>
            <w:r w:rsidRPr="00EA3824">
              <w:rPr>
                <w:color w:val="auto"/>
                <w:sz w:val="20"/>
              </w:rPr>
              <w:t xml:space="preserve">С момента вступления в силу пункта 12 статьи 2 Федерального закона от 29.12.2012 №282-ФЗ «О внесении изменений в отдельные законодательные акты Российской Федерации и признании </w:t>
            </w:r>
            <w:proofErr w:type="gramStart"/>
            <w:r w:rsidRPr="00EA3824">
              <w:rPr>
                <w:color w:val="auto"/>
                <w:sz w:val="20"/>
              </w:rPr>
              <w:t>утратившими</w:t>
            </w:r>
            <w:proofErr w:type="gramEnd"/>
            <w:r w:rsidRPr="00EA3824">
              <w:rPr>
                <w:color w:val="auto"/>
                <w:sz w:val="20"/>
              </w:rPr>
              <w:t xml:space="preserve"> силу отдельных положений законодательных актов Российской Федерации» сообщение о проведении Общего собрания акционеров размещается только на сайте Общества в сети Интернет </w:t>
            </w:r>
            <w:hyperlink r:id="rId9" w:history="1">
              <w:r w:rsidR="00CE4DF9" w:rsidRPr="00285615">
                <w:rPr>
                  <w:rStyle w:val="aa"/>
                  <w:sz w:val="20"/>
                </w:rPr>
                <w:t>www.</w:t>
              </w:r>
              <w:r w:rsidR="00CE4DF9" w:rsidRPr="00285615">
                <w:rPr>
                  <w:rStyle w:val="aa"/>
                  <w:sz w:val="20"/>
                  <w:lang w:val="en-US"/>
                </w:rPr>
                <w:t>ogk</w:t>
              </w:r>
              <w:r w:rsidR="00CE4DF9" w:rsidRPr="00CE4DF9">
                <w:rPr>
                  <w:rStyle w:val="aa"/>
                  <w:sz w:val="20"/>
                </w:rPr>
                <w:t>2</w:t>
              </w:r>
              <w:r w:rsidR="00CE4DF9" w:rsidRPr="00285615">
                <w:rPr>
                  <w:rStyle w:val="aa"/>
                  <w:sz w:val="20"/>
                </w:rPr>
                <w:t>.ru</w:t>
              </w:r>
            </w:hyperlink>
            <w:r w:rsidRPr="00EA3824">
              <w:rPr>
                <w:color w:val="auto"/>
                <w:sz w:val="20"/>
              </w:rPr>
              <w:t>.</w:t>
            </w:r>
          </w:p>
        </w:tc>
        <w:tc>
          <w:tcPr>
            <w:tcW w:w="8647" w:type="dxa"/>
            <w:vAlign w:val="center"/>
          </w:tcPr>
          <w:p w:rsidR="00C350E3" w:rsidRPr="00EA3824" w:rsidRDefault="00C350E3" w:rsidP="003B3391">
            <w:pPr>
              <w:spacing w:after="120"/>
              <w:ind w:firstLine="284"/>
              <w:contextualSpacing/>
              <w:jc w:val="both"/>
              <w:rPr>
                <w:rFonts w:ascii="Times New Roman" w:hAnsi="Times New Roman" w:cs="Times New Roman"/>
                <w:i/>
                <w:sz w:val="20"/>
                <w:szCs w:val="20"/>
              </w:rPr>
            </w:pPr>
            <w:r w:rsidRPr="00EA3824">
              <w:rPr>
                <w:rFonts w:ascii="Times New Roman" w:hAnsi="Times New Roman" w:cs="Times New Roman"/>
                <w:i/>
                <w:sz w:val="20"/>
                <w:szCs w:val="20"/>
              </w:rPr>
              <w:t>Изложить в следующей редакции:</w:t>
            </w:r>
          </w:p>
          <w:p w:rsidR="00C350E3" w:rsidRPr="00EA3824" w:rsidRDefault="00C350E3" w:rsidP="003B3391">
            <w:pPr>
              <w:pStyle w:val="2"/>
              <w:widowControl/>
              <w:spacing w:after="120"/>
              <w:ind w:firstLine="284"/>
              <w:contextualSpacing/>
              <w:rPr>
                <w:color w:val="auto"/>
                <w:sz w:val="20"/>
              </w:rPr>
            </w:pPr>
            <w:r w:rsidRPr="00EA3824">
              <w:rPr>
                <w:color w:val="auto"/>
                <w:sz w:val="20"/>
              </w:rPr>
              <w:t xml:space="preserve">Сообщение о проведении Общего собрания акционеров Общества должно быть сделано не позднее, чем за 20 (Двадцать) дней до даты его проведения, а сообщение о проведении годового Общего собрания акционеров Общества или о проведении Общего собрания акционеров Общества, повестка дня которого содержит вопрос о реорганизации Общества, – не </w:t>
            </w:r>
            <w:proofErr w:type="gramStart"/>
            <w:r w:rsidRPr="00EA3824">
              <w:rPr>
                <w:color w:val="auto"/>
                <w:sz w:val="20"/>
              </w:rPr>
              <w:t>позднее</w:t>
            </w:r>
            <w:proofErr w:type="gramEnd"/>
            <w:r w:rsidRPr="00EA3824">
              <w:rPr>
                <w:color w:val="auto"/>
                <w:sz w:val="20"/>
              </w:rPr>
              <w:t xml:space="preserve"> чем за 30 (Тридцать) дней до даты его проведения.</w:t>
            </w:r>
          </w:p>
          <w:p w:rsidR="00C350E3" w:rsidRPr="00EA3824" w:rsidRDefault="00C350E3" w:rsidP="003B3391">
            <w:pPr>
              <w:pStyle w:val="2"/>
              <w:widowControl/>
              <w:spacing w:after="120"/>
              <w:ind w:firstLine="284"/>
              <w:contextualSpacing/>
              <w:rPr>
                <w:strike/>
                <w:color w:val="auto"/>
                <w:sz w:val="20"/>
              </w:rPr>
            </w:pPr>
            <w:proofErr w:type="gramStart"/>
            <w:r w:rsidRPr="00EA3824">
              <w:rPr>
                <w:strike/>
                <w:color w:val="auto"/>
                <w:sz w:val="20"/>
              </w:rPr>
              <w:t>В указанные сроки сообщение должно быть направлено каждому лицу, указанному в списке лиц, имеющих право на участие в Общем собрании акционеров, или вручено каждому из указанных лиц под роспись либо опубликовано в доступном для всех акционеров Общества печатном издании – в газете «Известия» и (или) «Российская газета».</w:t>
            </w:r>
            <w:proofErr w:type="gramEnd"/>
          </w:p>
          <w:p w:rsidR="00C350E3" w:rsidRDefault="00C350E3" w:rsidP="003B3391">
            <w:pPr>
              <w:pStyle w:val="2"/>
              <w:widowControl/>
              <w:spacing w:after="120"/>
              <w:ind w:firstLine="284"/>
              <w:contextualSpacing/>
              <w:rPr>
                <w:color w:val="auto"/>
                <w:sz w:val="20"/>
              </w:rPr>
            </w:pPr>
            <w:r w:rsidRPr="00EA3824">
              <w:rPr>
                <w:strike/>
                <w:color w:val="auto"/>
                <w:sz w:val="20"/>
              </w:rPr>
              <w:t xml:space="preserve">С момента вступления в силу пункта 12 статьи 2 Федерального закона от 29.12.2012 №282-ФЗ «О внесении изменений в отдельные законодательные акты Российской Федерации и признании </w:t>
            </w:r>
            <w:proofErr w:type="gramStart"/>
            <w:r w:rsidRPr="00EA3824">
              <w:rPr>
                <w:strike/>
                <w:color w:val="auto"/>
                <w:sz w:val="20"/>
              </w:rPr>
              <w:t>утратившими</w:t>
            </w:r>
            <w:proofErr w:type="gramEnd"/>
            <w:r w:rsidRPr="00EA3824">
              <w:rPr>
                <w:strike/>
                <w:color w:val="auto"/>
                <w:sz w:val="20"/>
              </w:rPr>
              <w:t xml:space="preserve"> силу отдельных положений законодательных актов Российской Федерации»</w:t>
            </w:r>
            <w:r w:rsidRPr="00EA3824">
              <w:rPr>
                <w:color w:val="auto"/>
                <w:sz w:val="20"/>
              </w:rPr>
              <w:t xml:space="preserve"> Сообщение о проведении Общего собрания акционеров размещается </w:t>
            </w:r>
            <w:r w:rsidRPr="00EA3824">
              <w:rPr>
                <w:strike/>
                <w:color w:val="auto"/>
                <w:sz w:val="20"/>
              </w:rPr>
              <w:t>только</w:t>
            </w:r>
            <w:r w:rsidRPr="00EA3824">
              <w:rPr>
                <w:color w:val="auto"/>
                <w:sz w:val="20"/>
              </w:rPr>
              <w:t xml:space="preserve"> на сайте Общества в сети Интернет </w:t>
            </w:r>
            <w:hyperlink r:id="rId10" w:history="1">
              <w:r w:rsidR="00CE4DF9" w:rsidRPr="00285615">
                <w:rPr>
                  <w:rStyle w:val="aa"/>
                  <w:sz w:val="20"/>
                </w:rPr>
                <w:t>www.</w:t>
              </w:r>
              <w:r w:rsidR="00CE4DF9" w:rsidRPr="00285615">
                <w:rPr>
                  <w:rStyle w:val="aa"/>
                  <w:sz w:val="20"/>
                  <w:lang w:val="en-US"/>
                </w:rPr>
                <w:t>ogk</w:t>
              </w:r>
              <w:r w:rsidR="00CE4DF9" w:rsidRPr="00CE4DF9">
                <w:rPr>
                  <w:rStyle w:val="aa"/>
                  <w:sz w:val="20"/>
                </w:rPr>
                <w:t>2</w:t>
              </w:r>
              <w:r w:rsidR="00CE4DF9" w:rsidRPr="00285615">
                <w:rPr>
                  <w:rStyle w:val="aa"/>
                  <w:sz w:val="20"/>
                </w:rPr>
                <w:t>.ru</w:t>
              </w:r>
            </w:hyperlink>
            <w:r w:rsidR="00CE4DF9" w:rsidRPr="00EA3824">
              <w:rPr>
                <w:color w:val="auto"/>
                <w:sz w:val="20"/>
              </w:rPr>
              <w:t>.</w:t>
            </w:r>
          </w:p>
          <w:p w:rsidR="00CE4DF9" w:rsidRPr="00EA3824" w:rsidRDefault="00CE4DF9" w:rsidP="003B3391">
            <w:pPr>
              <w:pStyle w:val="2"/>
              <w:widowControl/>
              <w:spacing w:after="120"/>
              <w:ind w:firstLine="284"/>
              <w:contextualSpacing/>
              <w:rPr>
                <w:color w:val="auto"/>
                <w:sz w:val="20"/>
              </w:rPr>
            </w:pPr>
            <w:r w:rsidRPr="00CE4DF9">
              <w:rPr>
                <w:b/>
                <w:color w:val="auto"/>
                <w:sz w:val="20"/>
              </w:rPr>
              <w:t>В случае</w:t>
            </w:r>
            <w:proofErr w:type="gramStart"/>
            <w:r w:rsidRPr="00CE4DF9">
              <w:rPr>
                <w:b/>
                <w:color w:val="auto"/>
                <w:sz w:val="20"/>
              </w:rPr>
              <w:t>,</w:t>
            </w:r>
            <w:proofErr w:type="gramEnd"/>
            <w:r w:rsidRPr="00CE4DF9">
              <w:rPr>
                <w:b/>
                <w:color w:val="auto"/>
                <w:sz w:val="20"/>
              </w:rPr>
              <w:t xml:space="preserve"> если зарегистрированным в реестре акционеров Общества лицом является номинальный держатель акций, сообщение о проведении Общего собрания акционеров, а также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направляется в электронной форме (в форме электронных документов, подписанных электронной подписью) номинальному держателю акций.</w:t>
            </w:r>
          </w:p>
        </w:tc>
        <w:tc>
          <w:tcPr>
            <w:tcW w:w="4961" w:type="dxa"/>
            <w:vAlign w:val="center"/>
          </w:tcPr>
          <w:p w:rsidR="00C350E3" w:rsidRPr="00EA3824" w:rsidRDefault="00C350E3" w:rsidP="003B3391">
            <w:pPr>
              <w:pStyle w:val="ConsPlusNormal"/>
              <w:spacing w:after="120"/>
              <w:ind w:firstLine="284"/>
              <w:contextualSpacing/>
              <w:jc w:val="both"/>
              <w:rPr>
                <w:rFonts w:ascii="Times New Roman" w:hAnsi="Times New Roman" w:cs="Times New Roman"/>
              </w:rPr>
            </w:pPr>
            <w:r w:rsidRPr="00EA3824">
              <w:rPr>
                <w:rFonts w:ascii="Times New Roman" w:hAnsi="Times New Roman" w:cs="Times New Roman"/>
              </w:rPr>
              <w:t>Вступление в силу изменений в</w:t>
            </w:r>
            <w:r w:rsidRPr="00EA3824">
              <w:rPr>
                <w:rFonts w:ascii="Times New Roman" w:eastAsia="Calibri" w:hAnsi="Times New Roman" w:cs="Times New Roman"/>
              </w:rPr>
              <w:t xml:space="preserve"> ФЗ «Об акционерных обществах»</w:t>
            </w:r>
            <w:r w:rsidRPr="00EA3824">
              <w:rPr>
                <w:rFonts w:ascii="Times New Roman" w:hAnsi="Times New Roman" w:cs="Times New Roman"/>
              </w:rPr>
              <w:t xml:space="preserve"> (в ред. ФЗ 29.12.2012 N 282-ФЗ)</w:t>
            </w:r>
            <w:r w:rsidRPr="00EA3824">
              <w:rPr>
                <w:rFonts w:ascii="Times New Roman" w:eastAsia="Calibri" w:hAnsi="Times New Roman" w:cs="Times New Roman"/>
              </w:rPr>
              <w:t>.</w:t>
            </w:r>
          </w:p>
        </w:tc>
      </w:tr>
      <w:tr w:rsidR="00C350E3" w:rsidRPr="00EA3824" w:rsidTr="00C350E3">
        <w:trPr>
          <w:trHeight w:val="692"/>
        </w:trPr>
        <w:tc>
          <w:tcPr>
            <w:tcW w:w="425" w:type="dxa"/>
            <w:vAlign w:val="center"/>
          </w:tcPr>
          <w:p w:rsidR="00C350E3" w:rsidRPr="00EA3824" w:rsidRDefault="00C350E3" w:rsidP="003B3391">
            <w:pPr>
              <w:pStyle w:val="ae"/>
              <w:keepLines/>
              <w:numPr>
                <w:ilvl w:val="0"/>
                <w:numId w:val="2"/>
              </w:numPr>
              <w:spacing w:after="120"/>
              <w:ind w:left="0" w:firstLine="0"/>
              <w:jc w:val="both"/>
              <w:rPr>
                <w:rFonts w:ascii="Times New Roman" w:hAnsi="Times New Roman" w:cs="Times New Roman"/>
                <w:b/>
                <w:sz w:val="20"/>
                <w:szCs w:val="20"/>
              </w:rPr>
            </w:pPr>
          </w:p>
        </w:tc>
        <w:tc>
          <w:tcPr>
            <w:tcW w:w="8648" w:type="dxa"/>
            <w:vAlign w:val="center"/>
          </w:tcPr>
          <w:p w:rsidR="00C350E3" w:rsidRPr="00EA3824" w:rsidRDefault="00C350E3" w:rsidP="003B3391">
            <w:pPr>
              <w:pStyle w:val="2"/>
              <w:widowControl/>
              <w:spacing w:after="120"/>
              <w:ind w:firstLine="284"/>
              <w:contextualSpacing/>
              <w:rPr>
                <w:b/>
                <w:color w:val="auto"/>
                <w:sz w:val="20"/>
              </w:rPr>
            </w:pPr>
            <w:r w:rsidRPr="00EA3824">
              <w:rPr>
                <w:b/>
                <w:color w:val="auto"/>
                <w:sz w:val="20"/>
              </w:rPr>
              <w:t>П. 17.16. ст. 17</w:t>
            </w:r>
          </w:p>
          <w:p w:rsidR="00C350E3" w:rsidRPr="00EA3824" w:rsidRDefault="00C350E3" w:rsidP="003B3391">
            <w:pPr>
              <w:pStyle w:val="2"/>
              <w:widowControl/>
              <w:spacing w:after="120"/>
              <w:ind w:firstLine="284"/>
              <w:contextualSpacing/>
              <w:rPr>
                <w:color w:val="auto"/>
                <w:sz w:val="20"/>
              </w:rPr>
            </w:pPr>
            <w:proofErr w:type="gramStart"/>
            <w:r w:rsidRPr="00EA3824">
              <w:rPr>
                <w:color w:val="auto"/>
                <w:sz w:val="20"/>
              </w:rPr>
              <w:t>Информация (материалы) по вопросам повестки дня Общего собрания акционеров Общества в течение 20 (Двадцати) дней, а в случае проведения годового Общего собрания акционеров Общества или проведения Общего собрания акционеров Общества, повестка дня которого содержит вопрос о реорганизации Общества, в течение 30 (Тридцати) дней до даты проведения Общего собрания акционеров должна быть доступна лицам, имеющим право на участие в Общем собрании</w:t>
            </w:r>
            <w:proofErr w:type="gramEnd"/>
            <w:r w:rsidRPr="00EA3824">
              <w:rPr>
                <w:color w:val="auto"/>
                <w:sz w:val="20"/>
              </w:rPr>
              <w:t xml:space="preserve"> акционеров, для ознакомления в помещении исполнительного органа Общества и иных местах, адреса которых указываются в сообщении о проведении Общего собрания акционеров Общества. Указанная информация (материалы) также размещается на веб-сайте Общества в сети Интернет в срок не </w:t>
            </w:r>
            <w:proofErr w:type="gramStart"/>
            <w:r w:rsidRPr="00EA3824">
              <w:rPr>
                <w:color w:val="auto"/>
                <w:sz w:val="20"/>
              </w:rPr>
              <w:t>позднее</w:t>
            </w:r>
            <w:proofErr w:type="gramEnd"/>
            <w:r w:rsidRPr="00EA3824">
              <w:rPr>
                <w:color w:val="auto"/>
                <w:sz w:val="20"/>
              </w:rPr>
              <w:t xml:space="preserve"> чем за 10 (Десять) дней до даты проведения Общего собрания акционеров. Указанная информация (материалы) должна быть доступна лицам, принимающим участие в Общем собрании акционеров, во время его проведения.</w:t>
            </w:r>
          </w:p>
        </w:tc>
        <w:tc>
          <w:tcPr>
            <w:tcW w:w="8647" w:type="dxa"/>
            <w:vAlign w:val="center"/>
          </w:tcPr>
          <w:p w:rsidR="00C350E3" w:rsidRPr="00EA3824" w:rsidRDefault="00C350E3" w:rsidP="003B3391">
            <w:pPr>
              <w:spacing w:after="120"/>
              <w:ind w:firstLine="284"/>
              <w:contextualSpacing/>
              <w:jc w:val="both"/>
              <w:rPr>
                <w:rFonts w:ascii="Times New Roman" w:hAnsi="Times New Roman" w:cs="Times New Roman"/>
                <w:i/>
                <w:sz w:val="20"/>
                <w:szCs w:val="20"/>
              </w:rPr>
            </w:pPr>
            <w:r w:rsidRPr="00EA3824">
              <w:rPr>
                <w:rFonts w:ascii="Times New Roman" w:hAnsi="Times New Roman" w:cs="Times New Roman"/>
                <w:i/>
                <w:sz w:val="20"/>
                <w:szCs w:val="20"/>
              </w:rPr>
              <w:t>Изложить в следующей редакции:</w:t>
            </w:r>
          </w:p>
          <w:p w:rsidR="00C350E3" w:rsidRPr="00EA3824" w:rsidRDefault="00C350E3" w:rsidP="003B3391">
            <w:pPr>
              <w:pStyle w:val="2"/>
              <w:widowControl/>
              <w:spacing w:after="120"/>
              <w:ind w:firstLine="284"/>
              <w:contextualSpacing/>
              <w:rPr>
                <w:color w:val="auto"/>
                <w:sz w:val="20"/>
              </w:rPr>
            </w:pPr>
            <w:proofErr w:type="gramStart"/>
            <w:r w:rsidRPr="00EA3824">
              <w:rPr>
                <w:color w:val="auto"/>
                <w:sz w:val="20"/>
              </w:rPr>
              <w:t>Информация (материалы) по вопросам повестки дня Общего собрания акционеров Общества в течение 20 (Двадцати) дней, а в случае проведения годового Общего собрания акционеров Общества или проведения Общего собрания акционеров Общества, повестка дня которого содержит вопрос о реорганизации Общества, в течение 30 (Тридцати) дней до даты проведения Общего собрания акционеров должна быть доступна лицам, имеющим право на участие в Общем собрании</w:t>
            </w:r>
            <w:proofErr w:type="gramEnd"/>
            <w:r w:rsidRPr="00EA3824">
              <w:rPr>
                <w:color w:val="auto"/>
                <w:sz w:val="20"/>
              </w:rPr>
              <w:t xml:space="preserve"> акционеров, для ознакомления в помещении исполнительного органа Общества и иных местах, адреса которых указываются в сообщении о проведении Общего собрания акционеров Общества. Указанная информация (материалы) также размещается на </w:t>
            </w:r>
            <w:r w:rsidRPr="00EA3824">
              <w:rPr>
                <w:strike/>
                <w:color w:val="auto"/>
                <w:sz w:val="20"/>
              </w:rPr>
              <w:t>веб-</w:t>
            </w:r>
            <w:r w:rsidRPr="00EA3824">
              <w:rPr>
                <w:color w:val="auto"/>
                <w:sz w:val="20"/>
              </w:rPr>
              <w:t xml:space="preserve">сайте Общества в сети Интернет в срок не </w:t>
            </w:r>
            <w:proofErr w:type="gramStart"/>
            <w:r w:rsidRPr="00EA3824">
              <w:rPr>
                <w:color w:val="auto"/>
                <w:sz w:val="20"/>
              </w:rPr>
              <w:t>позднее</w:t>
            </w:r>
            <w:proofErr w:type="gramEnd"/>
            <w:r w:rsidRPr="00EA3824">
              <w:rPr>
                <w:color w:val="auto"/>
                <w:sz w:val="20"/>
              </w:rPr>
              <w:t xml:space="preserve"> чем за 10 (Десять) дней до даты проведения Общего собрания акционеров. Указанная информация (материалы) должна быть доступна лицам, принимающим участие в Общем собрании акционеров, во время его проведения.</w:t>
            </w:r>
          </w:p>
          <w:p w:rsidR="00C350E3" w:rsidRPr="00EA3824" w:rsidRDefault="00C350E3" w:rsidP="003B3391">
            <w:pPr>
              <w:pStyle w:val="ConsPlusNormal"/>
              <w:spacing w:after="120"/>
              <w:ind w:firstLine="284"/>
              <w:contextualSpacing/>
              <w:jc w:val="both"/>
              <w:rPr>
                <w:rFonts w:ascii="Times New Roman" w:hAnsi="Times New Roman" w:cs="Times New Roman"/>
                <w:b/>
              </w:rPr>
            </w:pPr>
            <w:r w:rsidRPr="00EA3824">
              <w:rPr>
                <w:rFonts w:ascii="Times New Roman" w:eastAsia="Times New Roman" w:hAnsi="Times New Roman" w:cs="Times New Roman"/>
                <w:b/>
              </w:rPr>
              <w:t>В случае</w:t>
            </w:r>
            <w:proofErr w:type="gramStart"/>
            <w:r w:rsidRPr="00EA3824">
              <w:rPr>
                <w:rFonts w:ascii="Times New Roman" w:eastAsia="Times New Roman" w:hAnsi="Times New Roman" w:cs="Times New Roman"/>
                <w:b/>
              </w:rPr>
              <w:t>,</w:t>
            </w:r>
            <w:proofErr w:type="gramEnd"/>
            <w:r w:rsidRPr="00EA3824">
              <w:rPr>
                <w:rFonts w:ascii="Times New Roman" w:eastAsia="Times New Roman" w:hAnsi="Times New Roman" w:cs="Times New Roman"/>
                <w:b/>
              </w:rPr>
              <w:t xml:space="preserve"> если зарегистрированным в реестре акционеров Общества лицом является номинальный держатель акций, сообщение о проведении Общего собрания акционеров, а также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направляется в электронной форме (в форме электронных документов, подписанных электронной подписью) номинальному держателю акций.</w:t>
            </w:r>
          </w:p>
        </w:tc>
        <w:tc>
          <w:tcPr>
            <w:tcW w:w="4961" w:type="dxa"/>
            <w:vAlign w:val="center"/>
          </w:tcPr>
          <w:p w:rsidR="00C350E3" w:rsidRPr="00EA3824" w:rsidRDefault="00C350E3" w:rsidP="003B3391">
            <w:pPr>
              <w:pStyle w:val="ConsPlusNormal"/>
              <w:spacing w:after="120"/>
              <w:ind w:firstLine="284"/>
              <w:contextualSpacing/>
              <w:jc w:val="both"/>
              <w:rPr>
                <w:rFonts w:ascii="Times New Roman" w:hAnsi="Times New Roman" w:cs="Times New Roman"/>
              </w:rPr>
            </w:pPr>
            <w:r w:rsidRPr="00EA3824">
              <w:rPr>
                <w:rFonts w:ascii="Times New Roman" w:hAnsi="Times New Roman" w:cs="Times New Roman"/>
              </w:rPr>
              <w:t>Вступление в силу изменений в</w:t>
            </w:r>
            <w:r w:rsidRPr="00EA3824">
              <w:rPr>
                <w:rFonts w:ascii="Times New Roman" w:eastAsia="Calibri" w:hAnsi="Times New Roman" w:cs="Times New Roman"/>
              </w:rPr>
              <w:t xml:space="preserve"> ФЗ «Об акционерных обществах»</w:t>
            </w:r>
            <w:r w:rsidRPr="00EA3824">
              <w:rPr>
                <w:rFonts w:ascii="Times New Roman" w:hAnsi="Times New Roman" w:cs="Times New Roman"/>
              </w:rPr>
              <w:t xml:space="preserve"> (в ред. ФЗ 29.12.2012 N 282-ФЗ)</w:t>
            </w:r>
            <w:r w:rsidRPr="00EA3824">
              <w:rPr>
                <w:rFonts w:ascii="Times New Roman" w:eastAsia="Calibri" w:hAnsi="Times New Roman" w:cs="Times New Roman"/>
              </w:rPr>
              <w:t>.</w:t>
            </w:r>
          </w:p>
        </w:tc>
      </w:tr>
      <w:tr w:rsidR="00C350E3" w:rsidRPr="00EA3824" w:rsidTr="00C350E3">
        <w:trPr>
          <w:trHeight w:val="567"/>
        </w:trPr>
        <w:tc>
          <w:tcPr>
            <w:tcW w:w="425" w:type="dxa"/>
            <w:vAlign w:val="center"/>
          </w:tcPr>
          <w:p w:rsidR="00C350E3" w:rsidRPr="00EA3824" w:rsidRDefault="00C350E3" w:rsidP="003B3391">
            <w:pPr>
              <w:pStyle w:val="ae"/>
              <w:keepLines/>
              <w:numPr>
                <w:ilvl w:val="0"/>
                <w:numId w:val="2"/>
              </w:numPr>
              <w:spacing w:after="120"/>
              <w:ind w:left="0" w:firstLine="0"/>
              <w:jc w:val="both"/>
              <w:rPr>
                <w:rFonts w:ascii="Times New Roman" w:hAnsi="Times New Roman" w:cs="Times New Roman"/>
                <w:b/>
                <w:sz w:val="20"/>
                <w:szCs w:val="20"/>
              </w:rPr>
            </w:pPr>
          </w:p>
        </w:tc>
        <w:tc>
          <w:tcPr>
            <w:tcW w:w="8648" w:type="dxa"/>
            <w:vAlign w:val="center"/>
          </w:tcPr>
          <w:p w:rsidR="00C350E3" w:rsidRPr="00EA3824" w:rsidRDefault="00C350E3" w:rsidP="003B3391">
            <w:pPr>
              <w:spacing w:after="120"/>
              <w:ind w:firstLine="284"/>
              <w:contextualSpacing/>
              <w:jc w:val="both"/>
              <w:rPr>
                <w:rFonts w:ascii="Times New Roman" w:hAnsi="Times New Roman" w:cs="Times New Roman"/>
                <w:b/>
                <w:sz w:val="20"/>
                <w:szCs w:val="20"/>
              </w:rPr>
            </w:pPr>
            <w:r w:rsidRPr="00EA3824">
              <w:rPr>
                <w:rFonts w:ascii="Times New Roman" w:hAnsi="Times New Roman" w:cs="Times New Roman"/>
                <w:b/>
                <w:sz w:val="20"/>
                <w:szCs w:val="20"/>
              </w:rPr>
              <w:t>П. 18.7 ст.18</w:t>
            </w:r>
          </w:p>
          <w:p w:rsidR="00C350E3" w:rsidRPr="00EA3824" w:rsidRDefault="00C350E3" w:rsidP="003B3391">
            <w:pPr>
              <w:spacing w:after="120"/>
              <w:ind w:firstLine="284"/>
              <w:contextualSpacing/>
              <w:jc w:val="both"/>
              <w:rPr>
                <w:rFonts w:ascii="Times New Roman" w:hAnsi="Times New Roman" w:cs="Times New Roman"/>
                <w:sz w:val="20"/>
                <w:szCs w:val="20"/>
              </w:rPr>
            </w:pPr>
            <w:proofErr w:type="gramStart"/>
            <w:r w:rsidRPr="00EA3824">
              <w:rPr>
                <w:rFonts w:ascii="Times New Roman" w:hAnsi="Times New Roman" w:cs="Times New Roman"/>
                <w:sz w:val="20"/>
                <w:szCs w:val="20"/>
              </w:rPr>
              <w:t>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 позднее 10 (Десяти)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w:t>
            </w:r>
            <w:proofErr w:type="gramEnd"/>
            <w:r w:rsidRPr="00EA3824">
              <w:rPr>
                <w:rFonts w:ascii="Times New Roman" w:hAnsi="Times New Roman" w:cs="Times New Roman"/>
                <w:sz w:val="20"/>
                <w:szCs w:val="20"/>
              </w:rPr>
              <w:t xml:space="preserve"> Общего собрания акционеров.</w:t>
            </w:r>
          </w:p>
        </w:tc>
        <w:tc>
          <w:tcPr>
            <w:tcW w:w="8647" w:type="dxa"/>
            <w:vAlign w:val="center"/>
          </w:tcPr>
          <w:p w:rsidR="00C350E3" w:rsidRPr="00EA3824" w:rsidRDefault="00C350E3" w:rsidP="003B3391">
            <w:pPr>
              <w:spacing w:after="120"/>
              <w:ind w:firstLine="284"/>
              <w:contextualSpacing/>
              <w:jc w:val="both"/>
              <w:rPr>
                <w:rFonts w:ascii="Times New Roman" w:hAnsi="Times New Roman" w:cs="Times New Roman"/>
                <w:i/>
                <w:sz w:val="20"/>
                <w:szCs w:val="20"/>
              </w:rPr>
            </w:pPr>
            <w:r w:rsidRPr="00EA3824">
              <w:rPr>
                <w:rFonts w:ascii="Times New Roman" w:hAnsi="Times New Roman" w:cs="Times New Roman"/>
                <w:i/>
                <w:sz w:val="20"/>
                <w:szCs w:val="20"/>
              </w:rPr>
              <w:t>Изложить в следующей редакции:</w:t>
            </w:r>
          </w:p>
          <w:p w:rsidR="00CE4DF9" w:rsidRDefault="00CE4DF9" w:rsidP="003B3391">
            <w:pPr>
              <w:pStyle w:val="ConsPlusCell"/>
              <w:spacing w:after="120"/>
              <w:ind w:firstLine="284"/>
              <w:contextualSpacing/>
              <w:jc w:val="both"/>
              <w:rPr>
                <w:rFonts w:ascii="Times New Roman" w:hAnsi="Times New Roman" w:cs="Times New Roman"/>
              </w:rPr>
            </w:pPr>
            <w:proofErr w:type="gramStart"/>
            <w:r w:rsidRPr="00EA3824">
              <w:rPr>
                <w:rFonts w:ascii="Times New Roman" w:hAnsi="Times New Roman" w:cs="Times New Roman"/>
              </w:rPr>
              <w:t>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 позднее 10 (Десяти)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w:t>
            </w:r>
            <w:proofErr w:type="gramEnd"/>
            <w:r w:rsidRPr="00EA3824">
              <w:rPr>
                <w:rFonts w:ascii="Times New Roman" w:hAnsi="Times New Roman" w:cs="Times New Roman"/>
              </w:rPr>
              <w:t xml:space="preserve"> Общего собрания акционеров.</w:t>
            </w:r>
          </w:p>
          <w:p w:rsidR="00CE4DF9" w:rsidRPr="00C760B7" w:rsidRDefault="00CE4DF9" w:rsidP="00C760B7">
            <w:pPr>
              <w:pStyle w:val="21"/>
              <w:spacing w:after="0" w:line="240" w:lineRule="auto"/>
              <w:ind w:firstLine="720"/>
              <w:jc w:val="both"/>
              <w:rPr>
                <w:rFonts w:eastAsiaTheme="minorHAnsi"/>
                <w:b/>
                <w:sz w:val="20"/>
                <w:szCs w:val="20"/>
                <w:lang w:eastAsia="en-US"/>
              </w:rPr>
            </w:pPr>
            <w:r w:rsidRPr="00C760B7">
              <w:rPr>
                <w:rFonts w:eastAsiaTheme="minorHAnsi"/>
                <w:b/>
                <w:sz w:val="20"/>
                <w:szCs w:val="20"/>
                <w:lang w:eastAsia="en-US"/>
              </w:rPr>
              <w:t xml:space="preserve">С момента вступления в силу Пункт 5 статьи 3 Федерального закона от 21.12.2013 N 379-ФЗ "О внесении изменений в отдельные законодательные акты Российской Федерации" 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а также должны доводиться до сведения лиц, включенных в список лиц, имеющих право на </w:t>
            </w:r>
            <w:proofErr w:type="gramStart"/>
            <w:r w:rsidRPr="00C760B7">
              <w:rPr>
                <w:rFonts w:eastAsiaTheme="minorHAnsi"/>
                <w:b/>
                <w:sz w:val="20"/>
                <w:szCs w:val="20"/>
                <w:lang w:eastAsia="en-US"/>
              </w:rPr>
              <w:t>участие</w:t>
            </w:r>
            <w:proofErr w:type="gramEnd"/>
            <w:r w:rsidRPr="00C760B7">
              <w:rPr>
                <w:rFonts w:eastAsiaTheme="minorHAnsi"/>
                <w:b/>
                <w:sz w:val="20"/>
                <w:szCs w:val="20"/>
                <w:lang w:eastAsia="en-US"/>
              </w:rPr>
              <w:t xml:space="preserve"> в общем </w:t>
            </w:r>
            <w:proofErr w:type="gramStart"/>
            <w:r w:rsidRPr="00C760B7">
              <w:rPr>
                <w:rFonts w:eastAsiaTheme="minorHAnsi"/>
                <w:b/>
                <w:sz w:val="20"/>
                <w:szCs w:val="20"/>
                <w:lang w:eastAsia="en-US"/>
              </w:rPr>
              <w:t>собрании</w:t>
            </w:r>
            <w:proofErr w:type="gramEnd"/>
            <w:r w:rsidRPr="00C760B7">
              <w:rPr>
                <w:rFonts w:eastAsiaTheme="minorHAnsi"/>
                <w:b/>
                <w:sz w:val="20"/>
                <w:szCs w:val="20"/>
                <w:lang w:eastAsia="en-US"/>
              </w:rPr>
              <w:t xml:space="preserve"> акционеров, в форме отчета об итогах голосования в порядке, предусмотренном для сообщения о проведении общего собрания акционеров, не позднее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C350E3" w:rsidRPr="00EA3824" w:rsidRDefault="00C350E3" w:rsidP="003B3391">
            <w:pPr>
              <w:pStyle w:val="ConsPlusCell"/>
              <w:spacing w:after="120"/>
              <w:ind w:firstLine="284"/>
              <w:contextualSpacing/>
              <w:jc w:val="both"/>
              <w:rPr>
                <w:rFonts w:ascii="Times New Roman" w:hAnsi="Times New Roman" w:cs="Times New Roman"/>
              </w:rPr>
            </w:pPr>
            <w:r w:rsidRPr="00EA3824">
              <w:rPr>
                <w:rFonts w:ascii="Times New Roman" w:hAnsi="Times New Roman" w:cs="Times New Roman"/>
                <w:b/>
              </w:rPr>
              <w:t>В случае</w:t>
            </w:r>
            <w:proofErr w:type="gramStart"/>
            <w:r w:rsidRPr="00EA3824">
              <w:rPr>
                <w:rFonts w:ascii="Times New Roman" w:hAnsi="Times New Roman" w:cs="Times New Roman"/>
                <w:b/>
              </w:rPr>
              <w:t>,</w:t>
            </w:r>
            <w:proofErr w:type="gramEnd"/>
            <w:r w:rsidRPr="00EA3824">
              <w:rPr>
                <w:rFonts w:ascii="Times New Roman" w:hAnsi="Times New Roman" w:cs="Times New Roman"/>
                <w:b/>
              </w:rPr>
              <w:t xml:space="preserve"> если на дату составления списка лиц, имеющих право на участие в общем собрании акционеров, зарегистрированным в реестре акционеров общества лицом являлся номинальный держатель акций, отчет об итогах голосования направляется в электронной форме (в форме электронного документа, подписанного электронной подписью) номинальному держателю акций. </w:t>
            </w:r>
          </w:p>
        </w:tc>
        <w:tc>
          <w:tcPr>
            <w:tcW w:w="4961" w:type="dxa"/>
            <w:vAlign w:val="center"/>
          </w:tcPr>
          <w:p w:rsidR="00C350E3" w:rsidRPr="00EA3824" w:rsidRDefault="00C350E3" w:rsidP="003B3391">
            <w:pPr>
              <w:pStyle w:val="ConsPlusNormal"/>
              <w:spacing w:after="120"/>
              <w:ind w:firstLine="284"/>
              <w:contextualSpacing/>
              <w:jc w:val="both"/>
              <w:rPr>
                <w:rFonts w:ascii="Times New Roman" w:hAnsi="Times New Roman" w:cs="Times New Roman"/>
              </w:rPr>
            </w:pPr>
            <w:r w:rsidRPr="00EA3824">
              <w:rPr>
                <w:rFonts w:ascii="Times New Roman" w:hAnsi="Times New Roman" w:cs="Times New Roman"/>
              </w:rPr>
              <w:t>Вступление в силу с 01.07.2014 изменений в</w:t>
            </w:r>
            <w:r w:rsidRPr="00EA3824">
              <w:rPr>
                <w:rFonts w:ascii="Times New Roman" w:eastAsia="Calibri" w:hAnsi="Times New Roman" w:cs="Times New Roman"/>
              </w:rPr>
              <w:t xml:space="preserve"> ФЗ «Об акционерных обществах»</w:t>
            </w:r>
            <w:r w:rsidRPr="00EA3824">
              <w:rPr>
                <w:rFonts w:ascii="Times New Roman" w:hAnsi="Times New Roman" w:cs="Times New Roman"/>
              </w:rPr>
              <w:t xml:space="preserve"> (в ред. ФЗ 21.12.2013 N 379-ФЗ)</w:t>
            </w:r>
            <w:r w:rsidRPr="00EA3824">
              <w:rPr>
                <w:rFonts w:ascii="Times New Roman" w:eastAsia="Calibri" w:hAnsi="Times New Roman" w:cs="Times New Roman"/>
              </w:rPr>
              <w:t>.</w:t>
            </w:r>
          </w:p>
        </w:tc>
      </w:tr>
      <w:tr w:rsidR="00C350E3" w:rsidRPr="00EA3824" w:rsidTr="00C350E3">
        <w:trPr>
          <w:trHeight w:val="567"/>
        </w:trPr>
        <w:tc>
          <w:tcPr>
            <w:tcW w:w="425" w:type="dxa"/>
            <w:vAlign w:val="center"/>
          </w:tcPr>
          <w:p w:rsidR="00C350E3" w:rsidRPr="00EA3824" w:rsidRDefault="00C350E3" w:rsidP="003B3391">
            <w:pPr>
              <w:pStyle w:val="ae"/>
              <w:keepLines/>
              <w:numPr>
                <w:ilvl w:val="0"/>
                <w:numId w:val="2"/>
              </w:numPr>
              <w:spacing w:after="120"/>
              <w:ind w:left="0" w:firstLine="0"/>
              <w:jc w:val="both"/>
              <w:rPr>
                <w:rFonts w:ascii="Times New Roman" w:hAnsi="Times New Roman" w:cs="Times New Roman"/>
                <w:b/>
                <w:sz w:val="20"/>
                <w:szCs w:val="20"/>
              </w:rPr>
            </w:pPr>
          </w:p>
        </w:tc>
        <w:tc>
          <w:tcPr>
            <w:tcW w:w="8648" w:type="dxa"/>
            <w:vAlign w:val="center"/>
          </w:tcPr>
          <w:p w:rsidR="00C350E3" w:rsidRPr="00EA3824" w:rsidRDefault="00C350E3" w:rsidP="003B3391">
            <w:pPr>
              <w:pStyle w:val="2"/>
              <w:widowControl/>
              <w:spacing w:after="120"/>
              <w:ind w:firstLine="284"/>
              <w:contextualSpacing/>
              <w:rPr>
                <w:sz w:val="20"/>
              </w:rPr>
            </w:pPr>
            <w:r w:rsidRPr="00EA3824">
              <w:rPr>
                <w:b/>
                <w:sz w:val="20"/>
              </w:rPr>
              <w:t>п. 20.1.43</w:t>
            </w:r>
            <w:r w:rsidRPr="00EA3824">
              <w:rPr>
                <w:sz w:val="20"/>
              </w:rPr>
              <w:t xml:space="preserve"> (компетенция СД):</w:t>
            </w:r>
          </w:p>
          <w:p w:rsidR="00C350E3" w:rsidRPr="00EA3824" w:rsidRDefault="00C350E3" w:rsidP="003B3391">
            <w:pPr>
              <w:pStyle w:val="2"/>
              <w:widowControl/>
              <w:spacing w:after="120"/>
              <w:ind w:firstLine="284"/>
              <w:contextualSpacing/>
              <w:rPr>
                <w:color w:val="auto"/>
                <w:sz w:val="20"/>
              </w:rPr>
            </w:pPr>
            <w:r w:rsidRPr="00EA3824">
              <w:rPr>
                <w:color w:val="auto"/>
                <w:sz w:val="20"/>
              </w:rPr>
              <w:t>Приобретение размещенных Обществом акций, облигаций и иных ценных бумаг в случаях, предусмотренных Федеральным законом «Об акционерных обществах», за исключением случая, предусмотренного пунктом 1 статьи 72 Федерального закона «Об акционерных обществах».</w:t>
            </w:r>
          </w:p>
        </w:tc>
        <w:tc>
          <w:tcPr>
            <w:tcW w:w="8647" w:type="dxa"/>
            <w:vAlign w:val="center"/>
          </w:tcPr>
          <w:p w:rsidR="00C350E3" w:rsidRPr="00EA3824" w:rsidRDefault="00C350E3" w:rsidP="003B3391">
            <w:pPr>
              <w:spacing w:after="120"/>
              <w:ind w:firstLine="284"/>
              <w:contextualSpacing/>
              <w:jc w:val="both"/>
              <w:rPr>
                <w:rFonts w:ascii="Times New Roman" w:hAnsi="Times New Roman" w:cs="Times New Roman"/>
                <w:i/>
                <w:sz w:val="20"/>
                <w:szCs w:val="20"/>
              </w:rPr>
            </w:pPr>
            <w:r w:rsidRPr="00EA3824">
              <w:rPr>
                <w:rFonts w:ascii="Times New Roman" w:hAnsi="Times New Roman" w:cs="Times New Roman"/>
                <w:i/>
                <w:sz w:val="20"/>
                <w:szCs w:val="20"/>
              </w:rPr>
              <w:t>Изложить в следующей редакции:</w:t>
            </w:r>
          </w:p>
          <w:p w:rsidR="00C350E3" w:rsidRPr="00EA3824" w:rsidRDefault="00C350E3" w:rsidP="003B3391">
            <w:pPr>
              <w:pStyle w:val="ConsPlusCell"/>
              <w:spacing w:after="120"/>
              <w:ind w:firstLine="284"/>
              <w:contextualSpacing/>
              <w:jc w:val="both"/>
              <w:rPr>
                <w:rFonts w:ascii="Times New Roman" w:hAnsi="Times New Roman" w:cs="Times New Roman"/>
              </w:rPr>
            </w:pPr>
            <w:r w:rsidRPr="00EA3824">
              <w:rPr>
                <w:rFonts w:ascii="Times New Roman" w:hAnsi="Times New Roman" w:cs="Times New Roman"/>
              </w:rPr>
              <w:t>Приобретение размещенных Обществом акций, облигаций и иных ценных бумаг в случаях, предусмотренных Федеральным законом «Об акционерных обществах»</w:t>
            </w:r>
            <w:r w:rsidRPr="00EA3824">
              <w:rPr>
                <w:rFonts w:ascii="Times New Roman" w:hAnsi="Times New Roman" w:cs="Times New Roman"/>
                <w:strike/>
              </w:rPr>
              <w:t>, за исключением случая, предусмотренного пунктом 1 статьи 72 Федерального закона «Об акционерных обществах»</w:t>
            </w:r>
            <w:r w:rsidRPr="00EA3824">
              <w:rPr>
                <w:rFonts w:ascii="Times New Roman" w:hAnsi="Times New Roman" w:cs="Times New Roman"/>
              </w:rPr>
              <w:t xml:space="preserve"> </w:t>
            </w:r>
            <w:r w:rsidRPr="00EA3824">
              <w:rPr>
                <w:rFonts w:ascii="Times New Roman" w:hAnsi="Times New Roman" w:cs="Times New Roman"/>
                <w:b/>
              </w:rPr>
              <w:t>или иными федеральными законами</w:t>
            </w:r>
            <w:r w:rsidRPr="00EA3824">
              <w:rPr>
                <w:rFonts w:ascii="Times New Roman" w:hAnsi="Times New Roman" w:cs="Times New Roman"/>
              </w:rPr>
              <w:t>.</w:t>
            </w:r>
          </w:p>
        </w:tc>
        <w:tc>
          <w:tcPr>
            <w:tcW w:w="4961" w:type="dxa"/>
            <w:vAlign w:val="center"/>
          </w:tcPr>
          <w:p w:rsidR="00C350E3" w:rsidRPr="00EA3824" w:rsidRDefault="00C350E3" w:rsidP="003B3391">
            <w:pPr>
              <w:pStyle w:val="ConsPlusCell"/>
              <w:spacing w:after="120"/>
              <w:ind w:firstLine="284"/>
              <w:contextualSpacing/>
              <w:jc w:val="both"/>
              <w:rPr>
                <w:rFonts w:ascii="Times New Roman" w:hAnsi="Times New Roman" w:cs="Times New Roman"/>
              </w:rPr>
            </w:pPr>
            <w:r w:rsidRPr="00EA3824">
              <w:rPr>
                <w:rFonts w:ascii="Times New Roman" w:hAnsi="Times New Roman" w:cs="Times New Roman"/>
              </w:rPr>
              <w:t>Вступление в силу с 01.07.2014 изменений в</w:t>
            </w:r>
            <w:r w:rsidRPr="00EA3824">
              <w:rPr>
                <w:rFonts w:ascii="Times New Roman" w:eastAsia="Calibri" w:hAnsi="Times New Roman" w:cs="Times New Roman"/>
              </w:rPr>
              <w:t xml:space="preserve"> ФЗ «Об акционерных обществах» (в ред. ФЗ 23.07.2013 N 210-ФЗ).</w:t>
            </w:r>
          </w:p>
        </w:tc>
      </w:tr>
      <w:tr w:rsidR="00C350E3" w:rsidRPr="00EA3824" w:rsidTr="00C350E3">
        <w:trPr>
          <w:trHeight w:val="567"/>
        </w:trPr>
        <w:tc>
          <w:tcPr>
            <w:tcW w:w="425" w:type="dxa"/>
            <w:shd w:val="clear" w:color="auto" w:fill="FFFFFF" w:themeFill="background1"/>
            <w:vAlign w:val="center"/>
          </w:tcPr>
          <w:p w:rsidR="00C350E3" w:rsidRPr="00EA3824" w:rsidRDefault="00C350E3" w:rsidP="003B3391">
            <w:pPr>
              <w:pStyle w:val="ae"/>
              <w:keepLines/>
              <w:numPr>
                <w:ilvl w:val="0"/>
                <w:numId w:val="2"/>
              </w:numPr>
              <w:spacing w:after="120"/>
              <w:ind w:left="0" w:firstLine="0"/>
              <w:jc w:val="both"/>
              <w:rPr>
                <w:rFonts w:ascii="Times New Roman" w:hAnsi="Times New Roman" w:cs="Times New Roman"/>
                <w:b/>
                <w:sz w:val="20"/>
                <w:szCs w:val="20"/>
              </w:rPr>
            </w:pPr>
          </w:p>
        </w:tc>
        <w:tc>
          <w:tcPr>
            <w:tcW w:w="8648" w:type="dxa"/>
            <w:shd w:val="clear" w:color="auto" w:fill="FFFFFF" w:themeFill="background1"/>
            <w:vAlign w:val="center"/>
          </w:tcPr>
          <w:p w:rsidR="00C350E3" w:rsidRPr="00EA3824" w:rsidRDefault="00C350E3" w:rsidP="003B3391">
            <w:pPr>
              <w:pStyle w:val="2"/>
              <w:widowControl/>
              <w:spacing w:after="120"/>
              <w:ind w:firstLine="284"/>
              <w:contextualSpacing/>
              <w:rPr>
                <w:sz w:val="20"/>
              </w:rPr>
            </w:pPr>
            <w:r w:rsidRPr="00EA3824">
              <w:rPr>
                <w:b/>
                <w:sz w:val="20"/>
              </w:rPr>
              <w:t>п. 20.1.5</w:t>
            </w:r>
            <w:r w:rsidR="00C760B7">
              <w:rPr>
                <w:b/>
                <w:sz w:val="20"/>
              </w:rPr>
              <w:t>4</w:t>
            </w:r>
            <w:r w:rsidRPr="00EA3824">
              <w:rPr>
                <w:sz w:val="20"/>
              </w:rPr>
              <w:t xml:space="preserve"> (компетенция СД):</w:t>
            </w:r>
          </w:p>
          <w:p w:rsidR="00C350E3" w:rsidRPr="00EA3824" w:rsidRDefault="00C350E3" w:rsidP="003B3391">
            <w:pPr>
              <w:pStyle w:val="Default"/>
              <w:spacing w:after="120"/>
              <w:ind w:firstLine="284"/>
              <w:contextualSpacing/>
              <w:jc w:val="both"/>
              <w:rPr>
                <w:color w:val="auto"/>
                <w:sz w:val="20"/>
                <w:szCs w:val="20"/>
              </w:rPr>
            </w:pPr>
            <w:proofErr w:type="gramStart"/>
            <w:r w:rsidRPr="00EA3824">
              <w:rPr>
                <w:color w:val="auto"/>
                <w:sz w:val="20"/>
                <w:szCs w:val="20"/>
              </w:rPr>
              <w:t>Предварительное одобрение сделок (до их совершения), включая несколько взаимосвязанных сделок, предметом которых является недвижимое имущество Общества (за исключением земельных участков), имущество Общества, составляющее основные средства, нематериальные активы, объекты незавершенного строительства, целью использования которых является производство, передача и (или) распределение электрической и (или) тепловой энергии, оказание услуг по оперативно-технологическому (диспетчерскому) управлению в электроэнергетике;</w:t>
            </w:r>
            <w:proofErr w:type="gramEnd"/>
          </w:p>
        </w:tc>
        <w:tc>
          <w:tcPr>
            <w:tcW w:w="8647" w:type="dxa"/>
            <w:shd w:val="clear" w:color="auto" w:fill="FFFFFF" w:themeFill="background1"/>
            <w:vAlign w:val="center"/>
          </w:tcPr>
          <w:p w:rsidR="00C350E3" w:rsidRPr="00EA3824" w:rsidRDefault="00C350E3" w:rsidP="002326C3">
            <w:pPr>
              <w:spacing w:after="120"/>
              <w:ind w:firstLine="284"/>
              <w:contextualSpacing/>
              <w:jc w:val="both"/>
              <w:rPr>
                <w:rFonts w:ascii="Times New Roman" w:hAnsi="Times New Roman" w:cs="Times New Roman"/>
                <w:i/>
                <w:sz w:val="20"/>
                <w:szCs w:val="20"/>
              </w:rPr>
            </w:pPr>
            <w:r w:rsidRPr="00EA3824">
              <w:rPr>
                <w:rFonts w:ascii="Times New Roman" w:hAnsi="Times New Roman" w:cs="Times New Roman"/>
                <w:i/>
                <w:sz w:val="20"/>
                <w:szCs w:val="20"/>
              </w:rPr>
              <w:t>Изложить в следующей редакции:</w:t>
            </w:r>
          </w:p>
          <w:p w:rsidR="00C350E3" w:rsidRPr="00EA3824" w:rsidRDefault="00C350E3" w:rsidP="00A232C7">
            <w:pPr>
              <w:pStyle w:val="Default"/>
              <w:spacing w:after="120"/>
              <w:ind w:firstLine="284"/>
              <w:contextualSpacing/>
              <w:jc w:val="both"/>
              <w:rPr>
                <w:color w:val="auto"/>
                <w:sz w:val="20"/>
                <w:szCs w:val="20"/>
              </w:rPr>
            </w:pPr>
            <w:proofErr w:type="gramStart"/>
            <w:r w:rsidRPr="00EA3824">
              <w:rPr>
                <w:color w:val="auto"/>
                <w:sz w:val="20"/>
                <w:szCs w:val="20"/>
              </w:rPr>
              <w:t>Предварительное одобрение сделок (до их совершения), включая несколько взаимосвязанных сделок, предметом которых является недвижимое имущество Общества (за исключением земельных участков), имущество Общества, составляющее основные средства, нематериальные активы, объекты незавершенного строительства, целью использования которых является производство, передача и (или) распределение электрической и (или) тепловой энергии, оказание услуг по оперативно-технологическому (диспетчерскому) управлению в электроэнергетике.</w:t>
            </w:r>
            <w:proofErr w:type="gramEnd"/>
            <w:r w:rsidRPr="00EA3824">
              <w:rPr>
                <w:color w:val="auto"/>
                <w:sz w:val="20"/>
                <w:szCs w:val="20"/>
              </w:rPr>
              <w:t xml:space="preserve">  </w:t>
            </w:r>
            <w:r w:rsidR="00C760B7" w:rsidRPr="00C760B7">
              <w:rPr>
                <w:rFonts w:eastAsia="Times New Roman"/>
                <w:b/>
                <w:color w:val="auto"/>
                <w:sz w:val="20"/>
                <w:szCs w:val="20"/>
              </w:rPr>
              <w:t>Данный пункт не применяется при списании имущества в порядке, установленном внутренними документами Общества</w:t>
            </w:r>
            <w:r w:rsidRPr="00EA3824">
              <w:rPr>
                <w:b/>
                <w:color w:val="auto"/>
                <w:sz w:val="20"/>
                <w:szCs w:val="20"/>
              </w:rPr>
              <w:t>;</w:t>
            </w:r>
          </w:p>
        </w:tc>
        <w:tc>
          <w:tcPr>
            <w:tcW w:w="4961" w:type="dxa"/>
            <w:shd w:val="clear" w:color="auto" w:fill="FFFFFF" w:themeFill="background1"/>
            <w:vAlign w:val="center"/>
          </w:tcPr>
          <w:p w:rsidR="00C350E3" w:rsidRPr="00EA3824" w:rsidRDefault="00C350E3" w:rsidP="003B3391">
            <w:pPr>
              <w:pStyle w:val="ConsPlusCell"/>
              <w:spacing w:after="120"/>
              <w:ind w:firstLine="284"/>
              <w:contextualSpacing/>
              <w:jc w:val="both"/>
              <w:rPr>
                <w:rFonts w:ascii="Times New Roman" w:hAnsi="Times New Roman" w:cs="Times New Roman"/>
                <w:highlight w:val="yellow"/>
              </w:rPr>
            </w:pPr>
            <w:r w:rsidRPr="00EA3824">
              <w:rPr>
                <w:rFonts w:ascii="Times New Roman" w:hAnsi="Times New Roman" w:cs="Times New Roman"/>
              </w:rPr>
              <w:t>Изменение редакции предлагается в целях оптимизации работы Совета директоров.</w:t>
            </w:r>
          </w:p>
        </w:tc>
      </w:tr>
      <w:tr w:rsidR="00C350E3" w:rsidRPr="00EA3824" w:rsidTr="00C350E3">
        <w:trPr>
          <w:trHeight w:val="567"/>
        </w:trPr>
        <w:tc>
          <w:tcPr>
            <w:tcW w:w="425" w:type="dxa"/>
            <w:shd w:val="clear" w:color="auto" w:fill="FFFFFF" w:themeFill="background1"/>
            <w:vAlign w:val="center"/>
          </w:tcPr>
          <w:p w:rsidR="00C350E3" w:rsidRPr="00EA3824" w:rsidRDefault="00C350E3" w:rsidP="003B3391">
            <w:pPr>
              <w:pStyle w:val="ae"/>
              <w:keepLines/>
              <w:numPr>
                <w:ilvl w:val="0"/>
                <w:numId w:val="2"/>
              </w:numPr>
              <w:spacing w:after="120"/>
              <w:ind w:left="0" w:firstLine="0"/>
              <w:jc w:val="both"/>
              <w:rPr>
                <w:rFonts w:ascii="Times New Roman" w:hAnsi="Times New Roman" w:cs="Times New Roman"/>
                <w:b/>
                <w:sz w:val="20"/>
                <w:szCs w:val="20"/>
              </w:rPr>
            </w:pPr>
          </w:p>
        </w:tc>
        <w:tc>
          <w:tcPr>
            <w:tcW w:w="8648" w:type="dxa"/>
            <w:shd w:val="clear" w:color="auto" w:fill="FFFFFF" w:themeFill="background1"/>
            <w:vAlign w:val="center"/>
          </w:tcPr>
          <w:p w:rsidR="00C350E3" w:rsidRPr="00EA3824" w:rsidRDefault="00C350E3" w:rsidP="003B3391">
            <w:pPr>
              <w:pStyle w:val="2"/>
              <w:widowControl/>
              <w:spacing w:after="120"/>
              <w:ind w:firstLine="284"/>
              <w:contextualSpacing/>
              <w:rPr>
                <w:b/>
                <w:color w:val="auto"/>
                <w:sz w:val="20"/>
              </w:rPr>
            </w:pPr>
            <w:r w:rsidRPr="00EA3824">
              <w:rPr>
                <w:b/>
                <w:color w:val="auto"/>
                <w:sz w:val="20"/>
              </w:rPr>
              <w:t>П. 24.15. ст. 24</w:t>
            </w:r>
          </w:p>
          <w:p w:rsidR="00C350E3" w:rsidRPr="00EA3824" w:rsidRDefault="00C350E3" w:rsidP="003B3391">
            <w:pPr>
              <w:pStyle w:val="2"/>
              <w:widowControl/>
              <w:spacing w:after="120"/>
              <w:ind w:firstLine="284"/>
              <w:contextualSpacing/>
              <w:rPr>
                <w:color w:val="auto"/>
                <w:sz w:val="20"/>
              </w:rPr>
            </w:pPr>
            <w:r w:rsidRPr="00EA3824">
              <w:rPr>
                <w:color w:val="auto"/>
                <w:sz w:val="20"/>
              </w:rPr>
              <w:t>Корпоративный секретарь осуществляет иные функции, предусмотренные действующим законодательством, настоящим Уставом и внутренними документами Общества.</w:t>
            </w:r>
          </w:p>
        </w:tc>
        <w:tc>
          <w:tcPr>
            <w:tcW w:w="8647" w:type="dxa"/>
            <w:shd w:val="clear" w:color="auto" w:fill="FFFFFF" w:themeFill="background1"/>
            <w:vAlign w:val="center"/>
          </w:tcPr>
          <w:p w:rsidR="00C350E3" w:rsidRPr="00EA3824" w:rsidRDefault="00C350E3" w:rsidP="003B3391">
            <w:pPr>
              <w:spacing w:after="120"/>
              <w:ind w:firstLine="284"/>
              <w:contextualSpacing/>
              <w:jc w:val="both"/>
              <w:rPr>
                <w:rFonts w:ascii="Times New Roman" w:hAnsi="Times New Roman" w:cs="Times New Roman"/>
                <w:i/>
                <w:sz w:val="20"/>
                <w:szCs w:val="20"/>
              </w:rPr>
            </w:pPr>
            <w:r w:rsidRPr="00EA3824">
              <w:rPr>
                <w:rFonts w:ascii="Times New Roman" w:hAnsi="Times New Roman" w:cs="Times New Roman"/>
                <w:i/>
                <w:sz w:val="20"/>
                <w:szCs w:val="20"/>
              </w:rPr>
              <w:t>Изложить в следующей редакции:</w:t>
            </w:r>
          </w:p>
          <w:p w:rsidR="00C350E3" w:rsidRPr="00EA3824" w:rsidRDefault="00C350E3" w:rsidP="003B3391">
            <w:pPr>
              <w:pStyle w:val="2"/>
              <w:widowControl/>
              <w:spacing w:after="120"/>
              <w:ind w:firstLine="284"/>
              <w:contextualSpacing/>
              <w:rPr>
                <w:color w:val="auto"/>
                <w:sz w:val="20"/>
              </w:rPr>
            </w:pPr>
            <w:r w:rsidRPr="00EA3824">
              <w:rPr>
                <w:color w:val="auto"/>
                <w:sz w:val="20"/>
              </w:rPr>
              <w:t xml:space="preserve">Корпоративный секретарь осуществляет иные функции, предусмотренные действующим законодательством, настоящим Уставом и внутренними документами Общества, </w:t>
            </w:r>
            <w:r w:rsidRPr="00EA3824">
              <w:rPr>
                <w:b/>
                <w:color w:val="auto"/>
                <w:sz w:val="20"/>
              </w:rPr>
              <w:t>в том числе подписывает выписки из протоколов Общих собраний акционеров Общества и заседаний Совета директоров Общества, заверяет копии документов, утвержденных (принятых) Общим собранием акционеров, Советом директоров Общества.</w:t>
            </w:r>
          </w:p>
        </w:tc>
        <w:tc>
          <w:tcPr>
            <w:tcW w:w="4961" w:type="dxa"/>
            <w:shd w:val="clear" w:color="auto" w:fill="FFFFFF" w:themeFill="background1"/>
            <w:vAlign w:val="center"/>
          </w:tcPr>
          <w:p w:rsidR="00C350E3" w:rsidRPr="00EA3824" w:rsidRDefault="00C350E3" w:rsidP="003B3391">
            <w:pPr>
              <w:pStyle w:val="ConsPlusNormal"/>
              <w:spacing w:after="120"/>
              <w:ind w:firstLine="284"/>
              <w:contextualSpacing/>
              <w:jc w:val="both"/>
              <w:rPr>
                <w:rFonts w:ascii="Times New Roman" w:hAnsi="Times New Roman" w:cs="Times New Roman"/>
              </w:rPr>
            </w:pPr>
            <w:r w:rsidRPr="00EA3824">
              <w:rPr>
                <w:rFonts w:ascii="Times New Roman" w:hAnsi="Times New Roman" w:cs="Times New Roman"/>
              </w:rPr>
              <w:t xml:space="preserve">Изменение редакции предлагается в целях подтверждения полномочий Корпоративного секретаря на </w:t>
            </w:r>
            <w:proofErr w:type="gramStart"/>
            <w:r w:rsidRPr="00EA3824">
              <w:rPr>
                <w:rFonts w:ascii="Times New Roman" w:hAnsi="Times New Roman" w:cs="Times New Roman"/>
              </w:rPr>
              <w:t>заверение документов</w:t>
            </w:r>
            <w:proofErr w:type="gramEnd"/>
            <w:r w:rsidRPr="00EA3824">
              <w:rPr>
                <w:rFonts w:ascii="Times New Roman" w:hAnsi="Times New Roman" w:cs="Times New Roman"/>
              </w:rPr>
              <w:t xml:space="preserve"> Общего собрания акционеров и Совета директоров для предоставления третьим лицам.</w:t>
            </w:r>
          </w:p>
        </w:tc>
      </w:tr>
      <w:tr w:rsidR="0007231A" w:rsidRPr="00EA3824" w:rsidTr="00FB50CD">
        <w:trPr>
          <w:trHeight w:val="567"/>
        </w:trPr>
        <w:tc>
          <w:tcPr>
            <w:tcW w:w="425" w:type="dxa"/>
            <w:shd w:val="clear" w:color="auto" w:fill="auto"/>
            <w:vAlign w:val="center"/>
          </w:tcPr>
          <w:p w:rsidR="0007231A" w:rsidRPr="00EA3824" w:rsidRDefault="0007231A" w:rsidP="003B3391">
            <w:pPr>
              <w:pStyle w:val="ae"/>
              <w:keepLines/>
              <w:numPr>
                <w:ilvl w:val="0"/>
                <w:numId w:val="2"/>
              </w:numPr>
              <w:spacing w:after="120"/>
              <w:ind w:left="0" w:firstLine="0"/>
              <w:jc w:val="both"/>
              <w:rPr>
                <w:rFonts w:ascii="Times New Roman" w:hAnsi="Times New Roman" w:cs="Times New Roman"/>
                <w:b/>
                <w:sz w:val="20"/>
                <w:szCs w:val="20"/>
              </w:rPr>
            </w:pPr>
          </w:p>
        </w:tc>
        <w:tc>
          <w:tcPr>
            <w:tcW w:w="8648" w:type="dxa"/>
            <w:shd w:val="clear" w:color="auto" w:fill="auto"/>
            <w:vAlign w:val="center"/>
          </w:tcPr>
          <w:p w:rsidR="0007231A" w:rsidRPr="00EA3824" w:rsidRDefault="0007231A" w:rsidP="003B3391">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b/>
                <w:sz w:val="20"/>
                <w:szCs w:val="20"/>
              </w:rPr>
              <w:t>п. 20.1.74</w:t>
            </w:r>
            <w:r w:rsidRPr="00EA3824">
              <w:rPr>
                <w:rFonts w:ascii="Times New Roman" w:hAnsi="Times New Roman" w:cs="Times New Roman"/>
                <w:sz w:val="20"/>
                <w:szCs w:val="20"/>
              </w:rPr>
              <w:t xml:space="preserve"> (компетенция СД): </w:t>
            </w:r>
          </w:p>
          <w:p w:rsidR="0007231A" w:rsidRPr="00EA3824" w:rsidRDefault="0007231A" w:rsidP="003B3391">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Утверждение целевых значений (скорректированных значений) ключевых показателей эффективности (КПЭ) Общества и отчетов об их выполнении</w:t>
            </w:r>
          </w:p>
        </w:tc>
        <w:tc>
          <w:tcPr>
            <w:tcW w:w="8647" w:type="dxa"/>
            <w:shd w:val="clear" w:color="auto" w:fill="auto"/>
            <w:vAlign w:val="center"/>
          </w:tcPr>
          <w:p w:rsidR="0007231A" w:rsidRPr="00550048" w:rsidRDefault="0007231A" w:rsidP="0029521C">
            <w:pPr>
              <w:ind w:left="33" w:firstLine="284"/>
              <w:contextualSpacing/>
              <w:jc w:val="both"/>
              <w:rPr>
                <w:rFonts w:ascii="Times New Roman" w:hAnsi="Times New Roman" w:cs="Times New Roman"/>
                <w:i/>
                <w:sz w:val="20"/>
                <w:szCs w:val="20"/>
              </w:rPr>
            </w:pPr>
            <w:r w:rsidRPr="00550048">
              <w:rPr>
                <w:rFonts w:ascii="Times New Roman" w:hAnsi="Times New Roman" w:cs="Times New Roman"/>
                <w:i/>
                <w:sz w:val="20"/>
                <w:szCs w:val="20"/>
              </w:rPr>
              <w:t>Изложить в следующей редакции:</w:t>
            </w:r>
          </w:p>
          <w:p w:rsidR="0007231A" w:rsidRPr="00550048" w:rsidRDefault="0007231A" w:rsidP="0029521C">
            <w:pPr>
              <w:ind w:left="33" w:firstLine="284"/>
              <w:contextualSpacing/>
              <w:jc w:val="both"/>
              <w:rPr>
                <w:rFonts w:ascii="Times New Roman" w:hAnsi="Times New Roman" w:cs="Times New Roman"/>
                <w:b/>
                <w:sz w:val="20"/>
                <w:szCs w:val="20"/>
              </w:rPr>
            </w:pPr>
            <w:proofErr w:type="gramStart"/>
            <w:r w:rsidRPr="00550048">
              <w:rPr>
                <w:rFonts w:ascii="Times New Roman" w:hAnsi="Times New Roman" w:cs="Times New Roman"/>
                <w:b/>
                <w:sz w:val="20"/>
                <w:szCs w:val="20"/>
              </w:rPr>
              <w:t>Утверждение целевых значений (скорректированных значений) ключевых показателей эффективности (КПЭ) Общества и отчетов об их выполнении, утверждение внутренних документов Общества, регулирующих порядок оплаты труда и материального стимулирования работников, занимающих определенные Советом директоров Общества должности, в том числе в части установления должностного оклада, максимального размера и условий выплаты премий, утверждения перечня и методик оценки выполнения КПЭ</w:t>
            </w:r>
            <w:proofErr w:type="gramEnd"/>
          </w:p>
        </w:tc>
        <w:tc>
          <w:tcPr>
            <w:tcW w:w="4961" w:type="dxa"/>
            <w:shd w:val="clear" w:color="auto" w:fill="auto"/>
            <w:vAlign w:val="center"/>
          </w:tcPr>
          <w:p w:rsidR="0007231A" w:rsidRPr="00EA3824" w:rsidRDefault="0007231A" w:rsidP="00DF5409">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Сложившаяся в настоящее время практика предполагает, что Совет директоров утверждает Положение об оплате труда и материальном стимулировании Высших менеджеров Общества и отчет по Генеральному директору. Предлагаем отразить это в Уставе.</w:t>
            </w:r>
          </w:p>
        </w:tc>
      </w:tr>
      <w:tr w:rsidR="0007231A" w:rsidRPr="00EA3824" w:rsidTr="00FB50CD">
        <w:trPr>
          <w:trHeight w:val="567"/>
        </w:trPr>
        <w:tc>
          <w:tcPr>
            <w:tcW w:w="425" w:type="dxa"/>
            <w:shd w:val="clear" w:color="auto" w:fill="auto"/>
            <w:vAlign w:val="center"/>
          </w:tcPr>
          <w:p w:rsidR="0007231A" w:rsidRPr="00EA3824" w:rsidRDefault="0007231A" w:rsidP="003B3391">
            <w:pPr>
              <w:pStyle w:val="ae"/>
              <w:keepLines/>
              <w:numPr>
                <w:ilvl w:val="0"/>
                <w:numId w:val="2"/>
              </w:numPr>
              <w:spacing w:after="120"/>
              <w:ind w:left="0" w:firstLine="0"/>
              <w:jc w:val="both"/>
              <w:rPr>
                <w:rFonts w:ascii="Times New Roman" w:hAnsi="Times New Roman" w:cs="Times New Roman"/>
                <w:b/>
                <w:sz w:val="20"/>
                <w:szCs w:val="20"/>
              </w:rPr>
            </w:pPr>
          </w:p>
        </w:tc>
        <w:tc>
          <w:tcPr>
            <w:tcW w:w="8648" w:type="dxa"/>
            <w:shd w:val="clear" w:color="auto" w:fill="auto"/>
            <w:vAlign w:val="center"/>
          </w:tcPr>
          <w:p w:rsidR="0007231A" w:rsidRPr="00EA3824" w:rsidRDefault="0007231A" w:rsidP="003B3391">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b/>
                <w:sz w:val="20"/>
                <w:szCs w:val="20"/>
              </w:rPr>
              <w:t>п. 20.1.75</w:t>
            </w:r>
            <w:r w:rsidRPr="00EA3824">
              <w:rPr>
                <w:rFonts w:ascii="Times New Roman" w:hAnsi="Times New Roman" w:cs="Times New Roman"/>
                <w:sz w:val="20"/>
                <w:szCs w:val="20"/>
              </w:rPr>
              <w:t xml:space="preserve"> (компетенция СД): </w:t>
            </w:r>
          </w:p>
          <w:p w:rsidR="0007231A" w:rsidRPr="00EA3824" w:rsidRDefault="0007231A" w:rsidP="003B3391">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Рассмотрение утвержденных Правлением Общества целевых значений ключевых показателей эффективности (КПЭ) для подразделений (должностных лиц) Общества и отчетов Генерального директора о результатах их выполнения</w:t>
            </w:r>
          </w:p>
        </w:tc>
        <w:tc>
          <w:tcPr>
            <w:tcW w:w="8647" w:type="dxa"/>
            <w:shd w:val="clear" w:color="auto" w:fill="auto"/>
            <w:vAlign w:val="center"/>
          </w:tcPr>
          <w:p w:rsidR="00C760B7" w:rsidRDefault="0007231A" w:rsidP="00C760B7">
            <w:pPr>
              <w:ind w:left="33" w:firstLine="284"/>
              <w:contextualSpacing/>
              <w:jc w:val="both"/>
              <w:rPr>
                <w:rFonts w:ascii="Times New Roman" w:hAnsi="Times New Roman" w:cs="Times New Roman"/>
                <w:i/>
                <w:sz w:val="20"/>
                <w:szCs w:val="20"/>
              </w:rPr>
            </w:pPr>
            <w:r w:rsidRPr="00550048">
              <w:rPr>
                <w:rFonts w:ascii="Times New Roman" w:hAnsi="Times New Roman" w:cs="Times New Roman"/>
                <w:i/>
                <w:sz w:val="20"/>
                <w:szCs w:val="20"/>
              </w:rPr>
              <w:t>Исключить пункт</w:t>
            </w:r>
            <w:r w:rsidR="00C760B7">
              <w:rPr>
                <w:rFonts w:ascii="Times New Roman" w:hAnsi="Times New Roman" w:cs="Times New Roman"/>
                <w:i/>
                <w:sz w:val="20"/>
                <w:szCs w:val="20"/>
              </w:rPr>
              <w:t xml:space="preserve">, </w:t>
            </w:r>
          </w:p>
          <w:p w:rsidR="0007231A" w:rsidRPr="00550048" w:rsidRDefault="00C760B7" w:rsidP="00C760B7">
            <w:pPr>
              <w:ind w:left="33" w:firstLine="284"/>
              <w:contextualSpacing/>
              <w:jc w:val="both"/>
              <w:rPr>
                <w:rFonts w:ascii="Times New Roman" w:hAnsi="Times New Roman" w:cs="Times New Roman"/>
                <w:i/>
                <w:sz w:val="20"/>
                <w:szCs w:val="20"/>
              </w:rPr>
            </w:pPr>
            <w:r>
              <w:rPr>
                <w:rFonts w:ascii="Times New Roman" w:hAnsi="Times New Roman" w:cs="Times New Roman"/>
                <w:i/>
                <w:sz w:val="20"/>
                <w:szCs w:val="20"/>
              </w:rPr>
              <w:t xml:space="preserve">пункт </w:t>
            </w:r>
            <w:r w:rsidRPr="00C760B7">
              <w:rPr>
                <w:rFonts w:ascii="Times New Roman" w:hAnsi="Times New Roman" w:cs="Times New Roman"/>
                <w:i/>
                <w:sz w:val="20"/>
                <w:szCs w:val="20"/>
              </w:rPr>
              <w:t>20.1.76 считать пунктом 20.1.75</w:t>
            </w:r>
          </w:p>
        </w:tc>
        <w:tc>
          <w:tcPr>
            <w:tcW w:w="4961" w:type="dxa"/>
            <w:shd w:val="clear" w:color="auto" w:fill="auto"/>
            <w:vAlign w:val="center"/>
          </w:tcPr>
          <w:p w:rsidR="0007231A" w:rsidRPr="00EA3824" w:rsidRDefault="0007231A" w:rsidP="00DF5409">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Все что касается КПЭ Высших менеджеров учтено ранее (см. выше). В отсутствие соответствующей практики по другим должностям (подразделениям) предлагае</w:t>
            </w:r>
            <w:r>
              <w:rPr>
                <w:rFonts w:ascii="Times New Roman" w:hAnsi="Times New Roman" w:cs="Times New Roman"/>
                <w:sz w:val="20"/>
                <w:szCs w:val="20"/>
              </w:rPr>
              <w:t>тся</w:t>
            </w:r>
            <w:r w:rsidRPr="00EA3824">
              <w:rPr>
                <w:rFonts w:ascii="Times New Roman" w:hAnsi="Times New Roman" w:cs="Times New Roman"/>
                <w:sz w:val="20"/>
                <w:szCs w:val="20"/>
              </w:rPr>
              <w:t xml:space="preserve"> ликвидировать данный пункт </w:t>
            </w:r>
          </w:p>
        </w:tc>
      </w:tr>
      <w:tr w:rsidR="0007231A" w:rsidRPr="00EA3824" w:rsidTr="00FB50CD">
        <w:trPr>
          <w:trHeight w:val="567"/>
        </w:trPr>
        <w:tc>
          <w:tcPr>
            <w:tcW w:w="425" w:type="dxa"/>
            <w:shd w:val="clear" w:color="auto" w:fill="auto"/>
            <w:vAlign w:val="center"/>
          </w:tcPr>
          <w:p w:rsidR="0007231A" w:rsidRPr="00EA3824" w:rsidRDefault="0007231A" w:rsidP="003B3391">
            <w:pPr>
              <w:pStyle w:val="ae"/>
              <w:keepLines/>
              <w:numPr>
                <w:ilvl w:val="0"/>
                <w:numId w:val="2"/>
              </w:numPr>
              <w:spacing w:after="120"/>
              <w:ind w:left="0" w:firstLine="0"/>
              <w:jc w:val="both"/>
              <w:rPr>
                <w:rFonts w:ascii="Times New Roman" w:hAnsi="Times New Roman" w:cs="Times New Roman"/>
                <w:b/>
                <w:sz w:val="20"/>
                <w:szCs w:val="20"/>
              </w:rPr>
            </w:pPr>
          </w:p>
        </w:tc>
        <w:tc>
          <w:tcPr>
            <w:tcW w:w="8648" w:type="dxa"/>
            <w:shd w:val="clear" w:color="auto" w:fill="auto"/>
            <w:vAlign w:val="center"/>
          </w:tcPr>
          <w:p w:rsidR="0007231A" w:rsidRPr="00EA3824" w:rsidRDefault="0007231A" w:rsidP="003B3391">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b/>
                <w:sz w:val="20"/>
                <w:szCs w:val="20"/>
              </w:rPr>
              <w:t>п. 26.5:</w:t>
            </w:r>
            <w:r w:rsidRPr="00EA3824">
              <w:rPr>
                <w:rFonts w:ascii="Times New Roman" w:hAnsi="Times New Roman" w:cs="Times New Roman"/>
                <w:sz w:val="20"/>
                <w:szCs w:val="20"/>
              </w:rPr>
              <w:t xml:space="preserve">  </w:t>
            </w:r>
          </w:p>
          <w:p w:rsidR="0007231A" w:rsidRPr="00EA3824" w:rsidRDefault="0007231A" w:rsidP="003B3391">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Генеральный директор:</w:t>
            </w:r>
          </w:p>
          <w:p w:rsidR="0007231A" w:rsidRPr="00EA3824" w:rsidRDefault="0007231A" w:rsidP="003B3391">
            <w:pPr>
              <w:tabs>
                <w:tab w:val="left" w:pos="459"/>
              </w:tabs>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w:t>
            </w:r>
            <w:r w:rsidRPr="00EA3824">
              <w:rPr>
                <w:rFonts w:ascii="Times New Roman" w:hAnsi="Times New Roman" w:cs="Times New Roman"/>
                <w:sz w:val="20"/>
                <w:szCs w:val="20"/>
              </w:rPr>
              <w:tab/>
              <w:t>представляет Совету директоров Общества информацию об утвержденных Правлением Общества для подразделений (должностных лиц) Общества целевых значений ключевых показателей эффективности (КПЭ) и отчеты о результатах их выполнения</w:t>
            </w:r>
          </w:p>
        </w:tc>
        <w:tc>
          <w:tcPr>
            <w:tcW w:w="8647" w:type="dxa"/>
            <w:shd w:val="clear" w:color="auto" w:fill="auto"/>
            <w:vAlign w:val="center"/>
          </w:tcPr>
          <w:p w:rsidR="0007231A" w:rsidRPr="00550048" w:rsidRDefault="0007231A" w:rsidP="00404A1A">
            <w:pPr>
              <w:ind w:left="33" w:firstLine="284"/>
              <w:contextualSpacing/>
              <w:jc w:val="both"/>
              <w:rPr>
                <w:rFonts w:ascii="Times New Roman" w:hAnsi="Times New Roman" w:cs="Times New Roman"/>
                <w:i/>
                <w:sz w:val="20"/>
                <w:szCs w:val="20"/>
              </w:rPr>
            </w:pPr>
            <w:r w:rsidRPr="00550048">
              <w:rPr>
                <w:rFonts w:ascii="Times New Roman" w:hAnsi="Times New Roman" w:cs="Times New Roman"/>
                <w:i/>
                <w:sz w:val="20"/>
                <w:szCs w:val="20"/>
              </w:rPr>
              <w:t xml:space="preserve">Исключить </w:t>
            </w:r>
            <w:r w:rsidR="00404A1A">
              <w:rPr>
                <w:rFonts w:ascii="Times New Roman" w:hAnsi="Times New Roman" w:cs="Times New Roman"/>
                <w:i/>
                <w:sz w:val="20"/>
                <w:szCs w:val="20"/>
              </w:rPr>
              <w:t xml:space="preserve">из </w:t>
            </w:r>
            <w:r w:rsidRPr="00550048">
              <w:rPr>
                <w:rFonts w:ascii="Times New Roman" w:hAnsi="Times New Roman" w:cs="Times New Roman"/>
                <w:i/>
                <w:sz w:val="20"/>
                <w:szCs w:val="20"/>
              </w:rPr>
              <w:t>пункт</w:t>
            </w:r>
            <w:r w:rsidR="00404A1A">
              <w:rPr>
                <w:rFonts w:ascii="Times New Roman" w:hAnsi="Times New Roman" w:cs="Times New Roman"/>
                <w:i/>
                <w:sz w:val="20"/>
                <w:szCs w:val="20"/>
              </w:rPr>
              <w:t>а</w:t>
            </w:r>
          </w:p>
        </w:tc>
        <w:tc>
          <w:tcPr>
            <w:tcW w:w="4961" w:type="dxa"/>
            <w:shd w:val="clear" w:color="auto" w:fill="auto"/>
            <w:vAlign w:val="center"/>
          </w:tcPr>
          <w:p w:rsidR="0007231A" w:rsidRPr="00EA3824" w:rsidRDefault="0007231A" w:rsidP="00DF5409">
            <w:pPr>
              <w:spacing w:after="120"/>
              <w:ind w:firstLine="284"/>
              <w:contextualSpacing/>
              <w:jc w:val="both"/>
              <w:rPr>
                <w:rFonts w:ascii="Times New Roman" w:hAnsi="Times New Roman" w:cs="Times New Roman"/>
                <w:sz w:val="20"/>
                <w:szCs w:val="20"/>
              </w:rPr>
            </w:pPr>
            <w:r>
              <w:rPr>
                <w:rFonts w:ascii="Times New Roman" w:hAnsi="Times New Roman" w:cs="Times New Roman"/>
                <w:sz w:val="20"/>
                <w:szCs w:val="20"/>
              </w:rPr>
              <w:t>Приводится в соответствии с практикой корпоративного управления</w:t>
            </w:r>
            <w:r w:rsidRPr="00EA3824">
              <w:rPr>
                <w:rFonts w:ascii="Times New Roman" w:hAnsi="Times New Roman" w:cs="Times New Roman"/>
                <w:sz w:val="20"/>
                <w:szCs w:val="20"/>
              </w:rPr>
              <w:t>.</w:t>
            </w:r>
          </w:p>
        </w:tc>
      </w:tr>
      <w:tr w:rsidR="0007231A" w:rsidRPr="00EA3824" w:rsidTr="00FB50CD">
        <w:trPr>
          <w:trHeight w:val="567"/>
        </w:trPr>
        <w:tc>
          <w:tcPr>
            <w:tcW w:w="425" w:type="dxa"/>
            <w:shd w:val="clear" w:color="auto" w:fill="auto"/>
            <w:vAlign w:val="center"/>
          </w:tcPr>
          <w:p w:rsidR="0007231A" w:rsidRPr="00EA3824" w:rsidRDefault="0007231A" w:rsidP="003B3391">
            <w:pPr>
              <w:pStyle w:val="ae"/>
              <w:keepLines/>
              <w:numPr>
                <w:ilvl w:val="0"/>
                <w:numId w:val="2"/>
              </w:numPr>
              <w:spacing w:after="120"/>
              <w:ind w:left="0" w:firstLine="0"/>
              <w:jc w:val="both"/>
              <w:rPr>
                <w:rFonts w:ascii="Times New Roman" w:hAnsi="Times New Roman" w:cs="Times New Roman"/>
                <w:b/>
                <w:sz w:val="20"/>
                <w:szCs w:val="20"/>
              </w:rPr>
            </w:pPr>
          </w:p>
        </w:tc>
        <w:tc>
          <w:tcPr>
            <w:tcW w:w="8648" w:type="dxa"/>
            <w:shd w:val="clear" w:color="auto" w:fill="auto"/>
            <w:vAlign w:val="center"/>
          </w:tcPr>
          <w:p w:rsidR="0007231A" w:rsidRPr="00EA3824" w:rsidRDefault="0007231A" w:rsidP="003B3391">
            <w:pPr>
              <w:autoSpaceDE w:val="0"/>
              <w:autoSpaceDN w:val="0"/>
              <w:adjustRightInd w:val="0"/>
              <w:spacing w:after="120"/>
              <w:ind w:firstLine="284"/>
              <w:contextualSpacing/>
              <w:jc w:val="both"/>
              <w:rPr>
                <w:rFonts w:ascii="Times New Roman" w:hAnsi="Times New Roman" w:cs="Times New Roman"/>
                <w:sz w:val="20"/>
                <w:szCs w:val="20"/>
              </w:rPr>
            </w:pPr>
            <w:r w:rsidRPr="00EA3824">
              <w:rPr>
                <w:rFonts w:ascii="Times New Roman" w:hAnsi="Times New Roman" w:cs="Times New Roman"/>
                <w:b/>
                <w:sz w:val="20"/>
                <w:szCs w:val="20"/>
              </w:rPr>
              <w:t>п. 27.4</w:t>
            </w:r>
            <w:r w:rsidRPr="00EA3824">
              <w:rPr>
                <w:rFonts w:ascii="Times New Roman" w:hAnsi="Times New Roman" w:cs="Times New Roman"/>
                <w:sz w:val="20"/>
                <w:szCs w:val="20"/>
              </w:rPr>
              <w:t xml:space="preserve">: </w:t>
            </w:r>
          </w:p>
          <w:p w:rsidR="0007231A" w:rsidRPr="00EA3824" w:rsidRDefault="0007231A" w:rsidP="003B3391">
            <w:pPr>
              <w:autoSpaceDE w:val="0"/>
              <w:autoSpaceDN w:val="0"/>
              <w:adjustRightInd w:val="0"/>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Правление Общества:</w:t>
            </w:r>
          </w:p>
          <w:p w:rsidR="0007231A" w:rsidRPr="00EA3824" w:rsidRDefault="0007231A" w:rsidP="003B3391">
            <w:pPr>
              <w:autoSpaceDE w:val="0"/>
              <w:autoSpaceDN w:val="0"/>
              <w:adjustRightInd w:val="0"/>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1. Осуществляет анализ и обобщение результатов работы структурных подразделений Общества, а также дает рекомендации по совершенствованию работы структурных подразделений Общества. Утверждает (корректирует) целевые значения ключевых показателей эффективности (КПЭ) для подразделений (должностных лиц) Общества</w:t>
            </w:r>
          </w:p>
        </w:tc>
        <w:tc>
          <w:tcPr>
            <w:tcW w:w="8647" w:type="dxa"/>
            <w:shd w:val="clear" w:color="auto" w:fill="auto"/>
            <w:vAlign w:val="center"/>
          </w:tcPr>
          <w:p w:rsidR="0007231A" w:rsidRPr="00550048" w:rsidRDefault="0007231A" w:rsidP="0029521C">
            <w:pPr>
              <w:ind w:left="33" w:firstLine="284"/>
              <w:contextualSpacing/>
              <w:jc w:val="both"/>
              <w:rPr>
                <w:rFonts w:ascii="Times New Roman" w:hAnsi="Times New Roman" w:cs="Times New Roman"/>
                <w:i/>
                <w:sz w:val="20"/>
                <w:szCs w:val="20"/>
              </w:rPr>
            </w:pPr>
            <w:r w:rsidRPr="00550048">
              <w:rPr>
                <w:rFonts w:ascii="Times New Roman" w:hAnsi="Times New Roman" w:cs="Times New Roman"/>
                <w:i/>
                <w:sz w:val="20"/>
                <w:szCs w:val="20"/>
              </w:rPr>
              <w:t>Изложить в следующей редакции:</w:t>
            </w:r>
          </w:p>
          <w:p w:rsidR="0007231A" w:rsidRPr="00550048" w:rsidRDefault="0007231A" w:rsidP="0029521C">
            <w:pPr>
              <w:ind w:left="33" w:firstLine="284"/>
              <w:contextualSpacing/>
              <w:jc w:val="both"/>
              <w:rPr>
                <w:rFonts w:ascii="Times New Roman" w:hAnsi="Times New Roman" w:cs="Times New Roman"/>
                <w:sz w:val="20"/>
                <w:szCs w:val="20"/>
              </w:rPr>
            </w:pPr>
            <w:r w:rsidRPr="00550048">
              <w:rPr>
                <w:rFonts w:ascii="Times New Roman" w:hAnsi="Times New Roman" w:cs="Times New Roman"/>
                <w:sz w:val="20"/>
                <w:szCs w:val="20"/>
              </w:rPr>
              <w:t>Правление Общества:</w:t>
            </w:r>
          </w:p>
          <w:p w:rsidR="0007231A" w:rsidRPr="00550048" w:rsidRDefault="0007231A" w:rsidP="00C760B7">
            <w:pPr>
              <w:ind w:left="33" w:firstLine="284"/>
              <w:contextualSpacing/>
              <w:jc w:val="both"/>
              <w:rPr>
                <w:rFonts w:ascii="Times New Roman" w:hAnsi="Times New Roman" w:cs="Times New Roman"/>
                <w:sz w:val="20"/>
                <w:szCs w:val="20"/>
              </w:rPr>
            </w:pPr>
            <w:r w:rsidRPr="00550048">
              <w:rPr>
                <w:rFonts w:ascii="Times New Roman" w:hAnsi="Times New Roman" w:cs="Times New Roman"/>
                <w:sz w:val="20"/>
                <w:szCs w:val="20"/>
              </w:rPr>
              <w:t xml:space="preserve">1. Осуществляет анализ и обобщение результатов работы структурных подразделений Общества, а также дает рекомендации по совершенствованию работы структурных подразделений Общества. Утверждает (корректирует) ключевые показатели эффективности (КПЭ) для подразделений (должностных лиц) Общества, </w:t>
            </w:r>
            <w:r w:rsidRPr="00550048">
              <w:rPr>
                <w:rFonts w:ascii="Times New Roman" w:hAnsi="Times New Roman" w:cs="Times New Roman"/>
                <w:b/>
                <w:sz w:val="20"/>
                <w:szCs w:val="20"/>
              </w:rPr>
              <w:t>за исключением КПЭ</w:t>
            </w:r>
            <w:r w:rsidRPr="00550048">
              <w:rPr>
                <w:rFonts w:ascii="Times New Roman" w:hAnsi="Times New Roman" w:cs="Times New Roman"/>
                <w:b/>
                <w:bCs/>
                <w:sz w:val="20"/>
                <w:szCs w:val="20"/>
              </w:rPr>
              <w:t xml:space="preserve"> </w:t>
            </w:r>
            <w:r w:rsidRPr="00550048">
              <w:rPr>
                <w:rFonts w:ascii="Times New Roman" w:hAnsi="Times New Roman" w:cs="Times New Roman"/>
                <w:b/>
                <w:sz w:val="20"/>
                <w:szCs w:val="20"/>
              </w:rPr>
              <w:t>работников, занимающих определенные Советом директоров Общества должности.</w:t>
            </w:r>
          </w:p>
        </w:tc>
        <w:tc>
          <w:tcPr>
            <w:tcW w:w="4961" w:type="dxa"/>
            <w:shd w:val="clear" w:color="auto" w:fill="auto"/>
            <w:vAlign w:val="center"/>
          </w:tcPr>
          <w:p w:rsidR="0007231A" w:rsidRPr="00EA3824" w:rsidRDefault="0007231A" w:rsidP="00DF5409">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Предлагае</w:t>
            </w:r>
            <w:r>
              <w:rPr>
                <w:rFonts w:ascii="Times New Roman" w:hAnsi="Times New Roman" w:cs="Times New Roman"/>
                <w:sz w:val="20"/>
                <w:szCs w:val="20"/>
              </w:rPr>
              <w:t>тся</w:t>
            </w:r>
            <w:r w:rsidRPr="00EA3824">
              <w:rPr>
                <w:rFonts w:ascii="Times New Roman" w:hAnsi="Times New Roman" w:cs="Times New Roman"/>
                <w:sz w:val="20"/>
                <w:szCs w:val="20"/>
              </w:rPr>
              <w:t xml:space="preserve"> исключить из перечня полномочий Правления утверждение КПЭ для работников, занимающих определенные Советом директоров Общества должности</w:t>
            </w:r>
            <w:r>
              <w:rPr>
                <w:rFonts w:ascii="Times New Roman" w:hAnsi="Times New Roman" w:cs="Times New Roman"/>
                <w:sz w:val="20"/>
                <w:szCs w:val="20"/>
              </w:rPr>
              <w:t xml:space="preserve"> (</w:t>
            </w:r>
            <w:r w:rsidRPr="00EA3824">
              <w:rPr>
                <w:rFonts w:ascii="Times New Roman" w:hAnsi="Times New Roman" w:cs="Times New Roman"/>
                <w:sz w:val="20"/>
                <w:szCs w:val="20"/>
              </w:rPr>
              <w:t>Высшие менеджеры</w:t>
            </w:r>
            <w:r>
              <w:rPr>
                <w:rFonts w:ascii="Times New Roman" w:hAnsi="Times New Roman" w:cs="Times New Roman"/>
                <w:sz w:val="20"/>
                <w:szCs w:val="20"/>
              </w:rPr>
              <w:t>)</w:t>
            </w:r>
            <w:r w:rsidRPr="00EA3824">
              <w:rPr>
                <w:rFonts w:ascii="Times New Roman" w:hAnsi="Times New Roman" w:cs="Times New Roman"/>
                <w:sz w:val="20"/>
                <w:szCs w:val="20"/>
              </w:rPr>
              <w:t>.</w:t>
            </w:r>
          </w:p>
        </w:tc>
      </w:tr>
      <w:tr w:rsidR="00C350E3" w:rsidRPr="00EA3824" w:rsidTr="00C350E3">
        <w:trPr>
          <w:trHeight w:val="567"/>
        </w:trPr>
        <w:tc>
          <w:tcPr>
            <w:tcW w:w="425" w:type="dxa"/>
            <w:vAlign w:val="center"/>
          </w:tcPr>
          <w:p w:rsidR="00C350E3" w:rsidRPr="00EA3824" w:rsidRDefault="00C350E3" w:rsidP="003B3391">
            <w:pPr>
              <w:pStyle w:val="ae"/>
              <w:keepLines/>
              <w:numPr>
                <w:ilvl w:val="0"/>
                <w:numId w:val="2"/>
              </w:numPr>
              <w:spacing w:after="120"/>
              <w:ind w:left="0" w:firstLine="0"/>
              <w:jc w:val="both"/>
              <w:rPr>
                <w:rFonts w:ascii="Times New Roman" w:hAnsi="Times New Roman" w:cs="Times New Roman"/>
                <w:b/>
                <w:sz w:val="20"/>
                <w:szCs w:val="20"/>
              </w:rPr>
            </w:pPr>
          </w:p>
        </w:tc>
        <w:tc>
          <w:tcPr>
            <w:tcW w:w="8648" w:type="dxa"/>
            <w:vAlign w:val="center"/>
          </w:tcPr>
          <w:p w:rsidR="00C350E3" w:rsidRPr="00EA3824" w:rsidRDefault="00C350E3" w:rsidP="003B3391">
            <w:pPr>
              <w:spacing w:after="120"/>
              <w:ind w:firstLine="284"/>
              <w:contextualSpacing/>
              <w:jc w:val="both"/>
              <w:rPr>
                <w:rFonts w:ascii="Times New Roman" w:hAnsi="Times New Roman" w:cs="Times New Roman"/>
                <w:b/>
                <w:sz w:val="20"/>
                <w:szCs w:val="20"/>
              </w:rPr>
            </w:pPr>
            <w:r w:rsidRPr="00EA3824">
              <w:rPr>
                <w:rFonts w:ascii="Times New Roman" w:hAnsi="Times New Roman" w:cs="Times New Roman"/>
                <w:b/>
                <w:sz w:val="20"/>
                <w:szCs w:val="20"/>
              </w:rPr>
              <w:t xml:space="preserve">П.31.6. </w:t>
            </w:r>
          </w:p>
          <w:p w:rsidR="00C350E3" w:rsidRPr="00EA3824" w:rsidRDefault="00C350E3" w:rsidP="003B3391">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Общество хранит документы, предусмотренные пунктом 31.5 настоящего Устава, по месту нахождения его исполнительного органа в порядке и в течение сроков, которые установлены федеральным органом исполнительной власти по рынку ценных бумаг.</w:t>
            </w:r>
          </w:p>
        </w:tc>
        <w:tc>
          <w:tcPr>
            <w:tcW w:w="8647" w:type="dxa"/>
            <w:vAlign w:val="center"/>
          </w:tcPr>
          <w:p w:rsidR="00C350E3" w:rsidRPr="00EA3824" w:rsidRDefault="00C350E3" w:rsidP="000A79E5">
            <w:pPr>
              <w:spacing w:after="120"/>
              <w:ind w:firstLine="284"/>
              <w:contextualSpacing/>
              <w:jc w:val="both"/>
              <w:rPr>
                <w:rFonts w:ascii="Times New Roman" w:hAnsi="Times New Roman" w:cs="Times New Roman"/>
                <w:i/>
                <w:sz w:val="20"/>
                <w:szCs w:val="20"/>
              </w:rPr>
            </w:pPr>
            <w:r w:rsidRPr="00EA3824">
              <w:rPr>
                <w:rFonts w:ascii="Times New Roman" w:hAnsi="Times New Roman" w:cs="Times New Roman"/>
                <w:i/>
                <w:sz w:val="20"/>
                <w:szCs w:val="20"/>
              </w:rPr>
              <w:t>Изложить в следующей редакции:</w:t>
            </w:r>
          </w:p>
          <w:p w:rsidR="00C350E3" w:rsidRPr="00EA3824" w:rsidRDefault="00C350E3" w:rsidP="000A79E5">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Общество хранит документы, предусмотренные пунктом 31.5 настоящего Устава, по месту нахождения его исполнительного органа в порядке и в течение сроков, которые установлены Банком России.</w:t>
            </w:r>
          </w:p>
        </w:tc>
        <w:tc>
          <w:tcPr>
            <w:tcW w:w="4961" w:type="dxa"/>
            <w:vAlign w:val="center"/>
          </w:tcPr>
          <w:p w:rsidR="00C350E3" w:rsidRPr="00EA3824" w:rsidRDefault="00C350E3" w:rsidP="00C350E3">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В связи с упразднением ФСФР и передачей ее функций Банку России</w:t>
            </w:r>
          </w:p>
        </w:tc>
      </w:tr>
      <w:tr w:rsidR="00C350E3" w:rsidRPr="00EA3824" w:rsidTr="00C350E3">
        <w:trPr>
          <w:trHeight w:val="567"/>
        </w:trPr>
        <w:tc>
          <w:tcPr>
            <w:tcW w:w="425" w:type="dxa"/>
            <w:vAlign w:val="center"/>
          </w:tcPr>
          <w:p w:rsidR="00C350E3" w:rsidRPr="00EA3824" w:rsidRDefault="00C350E3" w:rsidP="003B3391">
            <w:pPr>
              <w:pStyle w:val="ae"/>
              <w:keepLines/>
              <w:numPr>
                <w:ilvl w:val="0"/>
                <w:numId w:val="2"/>
              </w:numPr>
              <w:spacing w:after="120"/>
              <w:ind w:left="0" w:firstLine="0"/>
              <w:jc w:val="both"/>
              <w:rPr>
                <w:rFonts w:ascii="Times New Roman" w:hAnsi="Times New Roman" w:cs="Times New Roman"/>
                <w:b/>
                <w:sz w:val="20"/>
                <w:szCs w:val="20"/>
              </w:rPr>
            </w:pPr>
          </w:p>
        </w:tc>
        <w:tc>
          <w:tcPr>
            <w:tcW w:w="8648" w:type="dxa"/>
            <w:vAlign w:val="center"/>
          </w:tcPr>
          <w:p w:rsidR="00C350E3" w:rsidRPr="00EA3824" w:rsidRDefault="00C350E3" w:rsidP="00B63EDE">
            <w:pPr>
              <w:spacing w:after="120"/>
              <w:ind w:firstLine="284"/>
              <w:contextualSpacing/>
              <w:jc w:val="both"/>
              <w:rPr>
                <w:rFonts w:ascii="Times New Roman" w:hAnsi="Times New Roman" w:cs="Times New Roman"/>
                <w:b/>
                <w:sz w:val="20"/>
                <w:szCs w:val="20"/>
              </w:rPr>
            </w:pPr>
            <w:r w:rsidRPr="00EA3824">
              <w:rPr>
                <w:rFonts w:ascii="Times New Roman" w:hAnsi="Times New Roman" w:cs="Times New Roman"/>
                <w:b/>
                <w:sz w:val="20"/>
                <w:szCs w:val="20"/>
              </w:rPr>
              <w:t xml:space="preserve">П.32.4. </w:t>
            </w:r>
          </w:p>
          <w:p w:rsidR="00C350E3" w:rsidRPr="00EA3824" w:rsidRDefault="00C350E3" w:rsidP="00B63EDE">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Обязательное раскрытие информации Обществом осуществляется в порядке и объеме, установленных федеральным органом исполнительной власти по рынку ценных бумаг.</w:t>
            </w:r>
          </w:p>
        </w:tc>
        <w:tc>
          <w:tcPr>
            <w:tcW w:w="8647" w:type="dxa"/>
            <w:vAlign w:val="center"/>
          </w:tcPr>
          <w:p w:rsidR="00C350E3" w:rsidRPr="00EA3824" w:rsidRDefault="00C350E3" w:rsidP="00B63EDE">
            <w:pPr>
              <w:spacing w:after="120"/>
              <w:ind w:firstLine="284"/>
              <w:contextualSpacing/>
              <w:jc w:val="both"/>
              <w:rPr>
                <w:rFonts w:ascii="Times New Roman" w:hAnsi="Times New Roman" w:cs="Times New Roman"/>
                <w:i/>
                <w:sz w:val="20"/>
                <w:szCs w:val="20"/>
              </w:rPr>
            </w:pPr>
            <w:r w:rsidRPr="00EA3824">
              <w:rPr>
                <w:rFonts w:ascii="Times New Roman" w:hAnsi="Times New Roman" w:cs="Times New Roman"/>
                <w:i/>
                <w:sz w:val="20"/>
                <w:szCs w:val="20"/>
              </w:rPr>
              <w:t>Изложить в следующей редакции:</w:t>
            </w:r>
          </w:p>
          <w:p w:rsidR="00C350E3" w:rsidRPr="00EA3824" w:rsidRDefault="00C350E3" w:rsidP="003E2622">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 xml:space="preserve">Обязательное раскрытие информации Обществом осуществляется в порядке и объеме, </w:t>
            </w:r>
            <w:proofErr w:type="gramStart"/>
            <w:r w:rsidRPr="00EA3824">
              <w:rPr>
                <w:rFonts w:ascii="Times New Roman" w:hAnsi="Times New Roman" w:cs="Times New Roman"/>
                <w:sz w:val="20"/>
                <w:szCs w:val="20"/>
              </w:rPr>
              <w:t>установленных</w:t>
            </w:r>
            <w:proofErr w:type="gramEnd"/>
            <w:r w:rsidRPr="00EA3824">
              <w:rPr>
                <w:rFonts w:ascii="Times New Roman" w:hAnsi="Times New Roman" w:cs="Times New Roman"/>
                <w:sz w:val="20"/>
                <w:szCs w:val="20"/>
              </w:rPr>
              <w:t xml:space="preserve"> Банком России.</w:t>
            </w:r>
          </w:p>
        </w:tc>
        <w:tc>
          <w:tcPr>
            <w:tcW w:w="4961" w:type="dxa"/>
            <w:vAlign w:val="center"/>
          </w:tcPr>
          <w:p w:rsidR="00C350E3" w:rsidRPr="00EA3824" w:rsidRDefault="00C350E3" w:rsidP="00C350E3">
            <w:pPr>
              <w:spacing w:after="120"/>
              <w:ind w:firstLine="284"/>
              <w:contextualSpacing/>
              <w:jc w:val="both"/>
              <w:rPr>
                <w:rFonts w:ascii="Times New Roman" w:hAnsi="Times New Roman" w:cs="Times New Roman"/>
                <w:sz w:val="20"/>
                <w:szCs w:val="20"/>
              </w:rPr>
            </w:pPr>
            <w:r w:rsidRPr="00EA3824">
              <w:rPr>
                <w:rFonts w:ascii="Times New Roman" w:hAnsi="Times New Roman" w:cs="Times New Roman"/>
                <w:sz w:val="20"/>
                <w:szCs w:val="20"/>
              </w:rPr>
              <w:t>В связи с упразднением ФСФР и передачей ее функций Банку России</w:t>
            </w:r>
          </w:p>
          <w:p w:rsidR="00C350E3" w:rsidRPr="00EA3824" w:rsidRDefault="00C350E3" w:rsidP="00B63EDE">
            <w:pPr>
              <w:spacing w:after="120"/>
              <w:ind w:firstLine="284"/>
              <w:contextualSpacing/>
              <w:jc w:val="center"/>
              <w:rPr>
                <w:rFonts w:ascii="Times New Roman" w:hAnsi="Times New Roman" w:cs="Times New Roman"/>
                <w:sz w:val="20"/>
                <w:szCs w:val="20"/>
              </w:rPr>
            </w:pPr>
          </w:p>
        </w:tc>
      </w:tr>
    </w:tbl>
    <w:p w:rsidR="00B4359B" w:rsidRPr="00EA3824" w:rsidRDefault="00B4359B" w:rsidP="003B3391">
      <w:pPr>
        <w:spacing w:after="120" w:line="240" w:lineRule="auto"/>
        <w:contextualSpacing/>
        <w:jc w:val="both"/>
        <w:rPr>
          <w:rFonts w:ascii="Times New Roman" w:hAnsi="Times New Roman" w:cs="Times New Roman"/>
          <w:b/>
          <w:sz w:val="20"/>
          <w:szCs w:val="20"/>
        </w:rPr>
      </w:pPr>
    </w:p>
    <w:sectPr w:rsidR="00B4359B" w:rsidRPr="00EA3824" w:rsidSect="003B3391">
      <w:footerReference w:type="default" r:id="rId11"/>
      <w:pgSz w:w="23814" w:h="16839" w:orient="landscape" w:code="8"/>
      <w:pgMar w:top="567"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BDA" w:rsidRDefault="006F1BDA" w:rsidP="00B4359B">
      <w:pPr>
        <w:spacing w:after="0" w:line="240" w:lineRule="auto"/>
      </w:pPr>
      <w:r>
        <w:separator/>
      </w:r>
    </w:p>
  </w:endnote>
  <w:endnote w:type="continuationSeparator" w:id="0">
    <w:p w:rsidR="006F1BDA" w:rsidRDefault="006F1BDA" w:rsidP="00B4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94487"/>
      <w:docPartObj>
        <w:docPartGallery w:val="Page Numbers (Bottom of Page)"/>
        <w:docPartUnique/>
      </w:docPartObj>
    </w:sdtPr>
    <w:sdtEndPr/>
    <w:sdtContent>
      <w:p w:rsidR="002326C3" w:rsidRDefault="00BD2668">
        <w:pPr>
          <w:pStyle w:val="a6"/>
          <w:jc w:val="center"/>
        </w:pPr>
        <w:r>
          <w:fldChar w:fldCharType="begin"/>
        </w:r>
        <w:r>
          <w:instrText xml:space="preserve"> PAGE   \* MERGEFORMAT </w:instrText>
        </w:r>
        <w:r>
          <w:fldChar w:fldCharType="separate"/>
        </w:r>
        <w:r w:rsidR="00DD68E8">
          <w:rPr>
            <w:noProof/>
          </w:rPr>
          <w:t>1</w:t>
        </w:r>
        <w:r>
          <w:rPr>
            <w:noProof/>
          </w:rPr>
          <w:fldChar w:fldCharType="end"/>
        </w:r>
      </w:p>
    </w:sdtContent>
  </w:sdt>
  <w:p w:rsidR="002326C3" w:rsidRDefault="002326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BDA" w:rsidRDefault="006F1BDA" w:rsidP="00B4359B">
      <w:pPr>
        <w:spacing w:after="0" w:line="240" w:lineRule="auto"/>
      </w:pPr>
      <w:r>
        <w:separator/>
      </w:r>
    </w:p>
  </w:footnote>
  <w:footnote w:type="continuationSeparator" w:id="0">
    <w:p w:rsidR="006F1BDA" w:rsidRDefault="006F1BDA" w:rsidP="00B43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D30"/>
    <w:multiLevelType w:val="hybridMultilevel"/>
    <w:tmpl w:val="DD0CC5D2"/>
    <w:lvl w:ilvl="0" w:tplc="2B606CEE">
      <w:start w:val="1"/>
      <w:numFmt w:val="bullet"/>
      <w:lvlText w:val=""/>
      <w:lvlJc w:val="left"/>
      <w:pPr>
        <w:tabs>
          <w:tab w:val="num" w:pos="1440"/>
        </w:tabs>
        <w:ind w:left="1440" w:hanging="360"/>
      </w:pPr>
      <w:rPr>
        <w:rFonts w:ascii="Symbol" w:hAnsi="Symbol" w:hint="default"/>
        <w:sz w:val="18"/>
        <w:szCs w:val="1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72643215"/>
    <w:multiLevelType w:val="hybridMultilevel"/>
    <w:tmpl w:val="2A08C7A8"/>
    <w:lvl w:ilvl="0" w:tplc="C3922C1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9B"/>
    <w:rsid w:val="0001023A"/>
    <w:rsid w:val="00022F22"/>
    <w:rsid w:val="0007231A"/>
    <w:rsid w:val="00087B28"/>
    <w:rsid w:val="000A79E5"/>
    <w:rsid w:val="000C44BC"/>
    <w:rsid w:val="000F46D5"/>
    <w:rsid w:val="0010647E"/>
    <w:rsid w:val="001324AC"/>
    <w:rsid w:val="001505E1"/>
    <w:rsid w:val="00151FA4"/>
    <w:rsid w:val="0015783D"/>
    <w:rsid w:val="001F1AAF"/>
    <w:rsid w:val="0020194D"/>
    <w:rsid w:val="00201C95"/>
    <w:rsid w:val="00201D0E"/>
    <w:rsid w:val="00204589"/>
    <w:rsid w:val="002260C6"/>
    <w:rsid w:val="002326C3"/>
    <w:rsid w:val="00232B2D"/>
    <w:rsid w:val="00265E3D"/>
    <w:rsid w:val="00265FE7"/>
    <w:rsid w:val="002838E6"/>
    <w:rsid w:val="002B2232"/>
    <w:rsid w:val="002B75B3"/>
    <w:rsid w:val="002C1BC2"/>
    <w:rsid w:val="00303DFC"/>
    <w:rsid w:val="003247B8"/>
    <w:rsid w:val="0033419D"/>
    <w:rsid w:val="003517EA"/>
    <w:rsid w:val="0035194C"/>
    <w:rsid w:val="003A5EF3"/>
    <w:rsid w:val="003B3391"/>
    <w:rsid w:val="003C404C"/>
    <w:rsid w:val="003E2622"/>
    <w:rsid w:val="00404A1A"/>
    <w:rsid w:val="00416799"/>
    <w:rsid w:val="00420185"/>
    <w:rsid w:val="004235A4"/>
    <w:rsid w:val="004332AE"/>
    <w:rsid w:val="00471562"/>
    <w:rsid w:val="004771EE"/>
    <w:rsid w:val="00482B2E"/>
    <w:rsid w:val="004E0764"/>
    <w:rsid w:val="004F6C30"/>
    <w:rsid w:val="0051460E"/>
    <w:rsid w:val="00523B0C"/>
    <w:rsid w:val="0053167C"/>
    <w:rsid w:val="00533E09"/>
    <w:rsid w:val="00550048"/>
    <w:rsid w:val="0056164A"/>
    <w:rsid w:val="00581368"/>
    <w:rsid w:val="005A0584"/>
    <w:rsid w:val="005C21A2"/>
    <w:rsid w:val="005D0080"/>
    <w:rsid w:val="005D6369"/>
    <w:rsid w:val="006136BB"/>
    <w:rsid w:val="006273D0"/>
    <w:rsid w:val="00633E02"/>
    <w:rsid w:val="00646CA3"/>
    <w:rsid w:val="00665F1A"/>
    <w:rsid w:val="00697E74"/>
    <w:rsid w:val="006B0549"/>
    <w:rsid w:val="006F1BDA"/>
    <w:rsid w:val="00712CFB"/>
    <w:rsid w:val="00723E07"/>
    <w:rsid w:val="00732947"/>
    <w:rsid w:val="00744BFA"/>
    <w:rsid w:val="00796F49"/>
    <w:rsid w:val="007D593E"/>
    <w:rsid w:val="007F11BA"/>
    <w:rsid w:val="00806613"/>
    <w:rsid w:val="00835F69"/>
    <w:rsid w:val="00860D71"/>
    <w:rsid w:val="00885F38"/>
    <w:rsid w:val="008E675D"/>
    <w:rsid w:val="008F0BA7"/>
    <w:rsid w:val="008F3216"/>
    <w:rsid w:val="00917BCF"/>
    <w:rsid w:val="00944603"/>
    <w:rsid w:val="00972761"/>
    <w:rsid w:val="0098193B"/>
    <w:rsid w:val="00987169"/>
    <w:rsid w:val="009949C2"/>
    <w:rsid w:val="009D09E4"/>
    <w:rsid w:val="009D36C9"/>
    <w:rsid w:val="00A20171"/>
    <w:rsid w:val="00A20ECB"/>
    <w:rsid w:val="00A232C7"/>
    <w:rsid w:val="00A543E2"/>
    <w:rsid w:val="00A65FD4"/>
    <w:rsid w:val="00A67A1B"/>
    <w:rsid w:val="00A762D2"/>
    <w:rsid w:val="00B1393D"/>
    <w:rsid w:val="00B33436"/>
    <w:rsid w:val="00B4359B"/>
    <w:rsid w:val="00B63EDE"/>
    <w:rsid w:val="00B7382C"/>
    <w:rsid w:val="00BA5693"/>
    <w:rsid w:val="00BD2668"/>
    <w:rsid w:val="00BD4BD6"/>
    <w:rsid w:val="00C350E3"/>
    <w:rsid w:val="00C36692"/>
    <w:rsid w:val="00C531F4"/>
    <w:rsid w:val="00C61134"/>
    <w:rsid w:val="00C760B7"/>
    <w:rsid w:val="00CE4DF9"/>
    <w:rsid w:val="00CE69C2"/>
    <w:rsid w:val="00D5613C"/>
    <w:rsid w:val="00D76774"/>
    <w:rsid w:val="00D97B68"/>
    <w:rsid w:val="00DD47C9"/>
    <w:rsid w:val="00DD68E8"/>
    <w:rsid w:val="00E3034F"/>
    <w:rsid w:val="00E33610"/>
    <w:rsid w:val="00E342AE"/>
    <w:rsid w:val="00E80459"/>
    <w:rsid w:val="00E816B5"/>
    <w:rsid w:val="00EA3824"/>
    <w:rsid w:val="00EA4382"/>
    <w:rsid w:val="00EC3F44"/>
    <w:rsid w:val="00ED0CE0"/>
    <w:rsid w:val="00EF2EE3"/>
    <w:rsid w:val="00F070D0"/>
    <w:rsid w:val="00F07998"/>
    <w:rsid w:val="00F47891"/>
    <w:rsid w:val="00F54531"/>
    <w:rsid w:val="00F70BA3"/>
    <w:rsid w:val="00F97215"/>
    <w:rsid w:val="00FB5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4359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4359B"/>
  </w:style>
  <w:style w:type="paragraph" w:styleId="a6">
    <w:name w:val="footer"/>
    <w:basedOn w:val="a"/>
    <w:link w:val="a7"/>
    <w:uiPriority w:val="99"/>
    <w:unhideWhenUsed/>
    <w:rsid w:val="00B435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59B"/>
  </w:style>
  <w:style w:type="paragraph" w:customStyle="1" w:styleId="ConsPlusCell">
    <w:name w:val="ConsPlusCell"/>
    <w:uiPriority w:val="99"/>
    <w:rsid w:val="009D09E4"/>
    <w:pPr>
      <w:autoSpaceDE w:val="0"/>
      <w:autoSpaceDN w:val="0"/>
      <w:adjustRightInd w:val="0"/>
      <w:spacing w:after="0" w:line="240" w:lineRule="auto"/>
    </w:pPr>
    <w:rPr>
      <w:rFonts w:ascii="Arial" w:hAnsi="Arial" w:cs="Arial"/>
      <w:sz w:val="20"/>
      <w:szCs w:val="20"/>
    </w:rPr>
  </w:style>
  <w:style w:type="paragraph" w:styleId="2">
    <w:name w:val="Body Text Indent 2"/>
    <w:basedOn w:val="a"/>
    <w:link w:val="20"/>
    <w:rsid w:val="009D09E4"/>
    <w:pPr>
      <w:widowControl w:val="0"/>
      <w:autoSpaceDE w:val="0"/>
      <w:autoSpaceDN w:val="0"/>
      <w:adjustRightInd w:val="0"/>
      <w:spacing w:after="0" w:line="240" w:lineRule="auto"/>
      <w:ind w:firstLine="567"/>
      <w:jc w:val="both"/>
    </w:pPr>
    <w:rPr>
      <w:rFonts w:ascii="Times New Roman" w:eastAsia="Times New Roman" w:hAnsi="Times New Roman" w:cs="Times New Roman"/>
      <w:color w:val="000000"/>
      <w:sz w:val="24"/>
      <w:szCs w:val="20"/>
    </w:rPr>
  </w:style>
  <w:style w:type="character" w:customStyle="1" w:styleId="20">
    <w:name w:val="Основной текст с отступом 2 Знак"/>
    <w:basedOn w:val="a0"/>
    <w:link w:val="2"/>
    <w:rsid w:val="009D09E4"/>
    <w:rPr>
      <w:rFonts w:ascii="Times New Roman" w:eastAsia="Times New Roman" w:hAnsi="Times New Roman" w:cs="Times New Roman"/>
      <w:color w:val="000000"/>
      <w:sz w:val="24"/>
      <w:szCs w:val="20"/>
      <w:lang w:eastAsia="ru-RU"/>
    </w:rPr>
  </w:style>
  <w:style w:type="paragraph" w:customStyle="1" w:styleId="ConsPlusNormal">
    <w:name w:val="ConsPlusNormal"/>
    <w:rsid w:val="009D09E4"/>
    <w:pPr>
      <w:autoSpaceDE w:val="0"/>
      <w:autoSpaceDN w:val="0"/>
      <w:adjustRightInd w:val="0"/>
      <w:spacing w:after="0" w:line="240" w:lineRule="auto"/>
    </w:pPr>
    <w:rPr>
      <w:rFonts w:ascii="Arial" w:hAnsi="Arial" w:cs="Arial"/>
      <w:sz w:val="20"/>
      <w:szCs w:val="20"/>
    </w:rPr>
  </w:style>
  <w:style w:type="paragraph" w:customStyle="1" w:styleId="Default">
    <w:name w:val="Default"/>
    <w:rsid w:val="009D09E4"/>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w:basedOn w:val="a"/>
    <w:link w:val="a9"/>
    <w:uiPriority w:val="99"/>
    <w:unhideWhenUsed/>
    <w:rsid w:val="00E3034F"/>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E3034F"/>
    <w:rPr>
      <w:rFonts w:ascii="Times New Roman" w:eastAsia="Times New Roman" w:hAnsi="Times New Roman" w:cs="Times New Roman"/>
      <w:sz w:val="24"/>
      <w:szCs w:val="24"/>
      <w:lang w:eastAsia="ru-RU"/>
    </w:rPr>
  </w:style>
  <w:style w:type="character" w:styleId="aa">
    <w:name w:val="Hyperlink"/>
    <w:basedOn w:val="a0"/>
    <w:uiPriority w:val="99"/>
    <w:unhideWhenUsed/>
    <w:rsid w:val="00E3034F"/>
    <w:rPr>
      <w:color w:val="0000FF" w:themeColor="hyperlink"/>
      <w:u w:val="single"/>
    </w:rPr>
  </w:style>
  <w:style w:type="paragraph" w:styleId="21">
    <w:name w:val="Body Text 2"/>
    <w:basedOn w:val="a"/>
    <w:link w:val="22"/>
    <w:uiPriority w:val="99"/>
    <w:unhideWhenUsed/>
    <w:rsid w:val="00A65FD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A65FD4"/>
    <w:rPr>
      <w:rFonts w:ascii="Times New Roman" w:eastAsia="Times New Roman" w:hAnsi="Times New Roman" w:cs="Times New Roman"/>
      <w:sz w:val="24"/>
      <w:szCs w:val="24"/>
      <w:lang w:eastAsia="ru-RU"/>
    </w:rPr>
  </w:style>
  <w:style w:type="paragraph" w:styleId="ab">
    <w:name w:val="Normal (Web)"/>
    <w:basedOn w:val="a"/>
    <w:rsid w:val="008F0BA7"/>
    <w:pPr>
      <w:spacing w:after="150" w:line="240" w:lineRule="auto"/>
      <w:jc w:val="both"/>
    </w:pPr>
    <w:rPr>
      <w:rFonts w:ascii="Verdana" w:eastAsia="Times New Roman" w:hAnsi="Verdana" w:cs="Times New Roman"/>
      <w:color w:val="000000"/>
      <w:sz w:val="17"/>
      <w:szCs w:val="17"/>
    </w:rPr>
  </w:style>
  <w:style w:type="paragraph" w:styleId="ac">
    <w:name w:val="Body Text Indent"/>
    <w:basedOn w:val="a"/>
    <w:link w:val="ad"/>
    <w:uiPriority w:val="99"/>
    <w:unhideWhenUsed/>
    <w:rsid w:val="008F0BA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8F0BA7"/>
    <w:rPr>
      <w:rFonts w:ascii="Times New Roman" w:eastAsia="Times New Roman" w:hAnsi="Times New Roman" w:cs="Times New Roman"/>
      <w:sz w:val="24"/>
      <w:szCs w:val="24"/>
      <w:lang w:eastAsia="ru-RU"/>
    </w:rPr>
  </w:style>
  <w:style w:type="paragraph" w:styleId="ae">
    <w:name w:val="List Paragraph"/>
    <w:basedOn w:val="a"/>
    <w:uiPriority w:val="34"/>
    <w:qFormat/>
    <w:rsid w:val="00022F22"/>
    <w:pPr>
      <w:ind w:left="720"/>
      <w:contextualSpacing/>
    </w:pPr>
  </w:style>
  <w:style w:type="paragraph" w:styleId="af">
    <w:name w:val="Balloon Text"/>
    <w:basedOn w:val="a"/>
    <w:link w:val="af0"/>
    <w:uiPriority w:val="99"/>
    <w:semiHidden/>
    <w:unhideWhenUsed/>
    <w:rsid w:val="004E076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E07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4359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4359B"/>
  </w:style>
  <w:style w:type="paragraph" w:styleId="a6">
    <w:name w:val="footer"/>
    <w:basedOn w:val="a"/>
    <w:link w:val="a7"/>
    <w:uiPriority w:val="99"/>
    <w:unhideWhenUsed/>
    <w:rsid w:val="00B435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59B"/>
  </w:style>
  <w:style w:type="paragraph" w:customStyle="1" w:styleId="ConsPlusCell">
    <w:name w:val="ConsPlusCell"/>
    <w:uiPriority w:val="99"/>
    <w:rsid w:val="009D09E4"/>
    <w:pPr>
      <w:autoSpaceDE w:val="0"/>
      <w:autoSpaceDN w:val="0"/>
      <w:adjustRightInd w:val="0"/>
      <w:spacing w:after="0" w:line="240" w:lineRule="auto"/>
    </w:pPr>
    <w:rPr>
      <w:rFonts w:ascii="Arial" w:hAnsi="Arial" w:cs="Arial"/>
      <w:sz w:val="20"/>
      <w:szCs w:val="20"/>
    </w:rPr>
  </w:style>
  <w:style w:type="paragraph" w:styleId="2">
    <w:name w:val="Body Text Indent 2"/>
    <w:basedOn w:val="a"/>
    <w:link w:val="20"/>
    <w:rsid w:val="009D09E4"/>
    <w:pPr>
      <w:widowControl w:val="0"/>
      <w:autoSpaceDE w:val="0"/>
      <w:autoSpaceDN w:val="0"/>
      <w:adjustRightInd w:val="0"/>
      <w:spacing w:after="0" w:line="240" w:lineRule="auto"/>
      <w:ind w:firstLine="567"/>
      <w:jc w:val="both"/>
    </w:pPr>
    <w:rPr>
      <w:rFonts w:ascii="Times New Roman" w:eastAsia="Times New Roman" w:hAnsi="Times New Roman" w:cs="Times New Roman"/>
      <w:color w:val="000000"/>
      <w:sz w:val="24"/>
      <w:szCs w:val="20"/>
    </w:rPr>
  </w:style>
  <w:style w:type="character" w:customStyle="1" w:styleId="20">
    <w:name w:val="Основной текст с отступом 2 Знак"/>
    <w:basedOn w:val="a0"/>
    <w:link w:val="2"/>
    <w:rsid w:val="009D09E4"/>
    <w:rPr>
      <w:rFonts w:ascii="Times New Roman" w:eastAsia="Times New Roman" w:hAnsi="Times New Roman" w:cs="Times New Roman"/>
      <w:color w:val="000000"/>
      <w:sz w:val="24"/>
      <w:szCs w:val="20"/>
      <w:lang w:eastAsia="ru-RU"/>
    </w:rPr>
  </w:style>
  <w:style w:type="paragraph" w:customStyle="1" w:styleId="ConsPlusNormal">
    <w:name w:val="ConsPlusNormal"/>
    <w:rsid w:val="009D09E4"/>
    <w:pPr>
      <w:autoSpaceDE w:val="0"/>
      <w:autoSpaceDN w:val="0"/>
      <w:adjustRightInd w:val="0"/>
      <w:spacing w:after="0" w:line="240" w:lineRule="auto"/>
    </w:pPr>
    <w:rPr>
      <w:rFonts w:ascii="Arial" w:hAnsi="Arial" w:cs="Arial"/>
      <w:sz w:val="20"/>
      <w:szCs w:val="20"/>
    </w:rPr>
  </w:style>
  <w:style w:type="paragraph" w:customStyle="1" w:styleId="Default">
    <w:name w:val="Default"/>
    <w:rsid w:val="009D09E4"/>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w:basedOn w:val="a"/>
    <w:link w:val="a9"/>
    <w:uiPriority w:val="99"/>
    <w:unhideWhenUsed/>
    <w:rsid w:val="00E3034F"/>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E3034F"/>
    <w:rPr>
      <w:rFonts w:ascii="Times New Roman" w:eastAsia="Times New Roman" w:hAnsi="Times New Roman" w:cs="Times New Roman"/>
      <w:sz w:val="24"/>
      <w:szCs w:val="24"/>
      <w:lang w:eastAsia="ru-RU"/>
    </w:rPr>
  </w:style>
  <w:style w:type="character" w:styleId="aa">
    <w:name w:val="Hyperlink"/>
    <w:basedOn w:val="a0"/>
    <w:uiPriority w:val="99"/>
    <w:unhideWhenUsed/>
    <w:rsid w:val="00E3034F"/>
    <w:rPr>
      <w:color w:val="0000FF" w:themeColor="hyperlink"/>
      <w:u w:val="single"/>
    </w:rPr>
  </w:style>
  <w:style w:type="paragraph" w:styleId="21">
    <w:name w:val="Body Text 2"/>
    <w:basedOn w:val="a"/>
    <w:link w:val="22"/>
    <w:uiPriority w:val="99"/>
    <w:unhideWhenUsed/>
    <w:rsid w:val="00A65FD4"/>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A65FD4"/>
    <w:rPr>
      <w:rFonts w:ascii="Times New Roman" w:eastAsia="Times New Roman" w:hAnsi="Times New Roman" w:cs="Times New Roman"/>
      <w:sz w:val="24"/>
      <w:szCs w:val="24"/>
      <w:lang w:eastAsia="ru-RU"/>
    </w:rPr>
  </w:style>
  <w:style w:type="paragraph" w:styleId="ab">
    <w:name w:val="Normal (Web)"/>
    <w:basedOn w:val="a"/>
    <w:rsid w:val="008F0BA7"/>
    <w:pPr>
      <w:spacing w:after="150" w:line="240" w:lineRule="auto"/>
      <w:jc w:val="both"/>
    </w:pPr>
    <w:rPr>
      <w:rFonts w:ascii="Verdana" w:eastAsia="Times New Roman" w:hAnsi="Verdana" w:cs="Times New Roman"/>
      <w:color w:val="000000"/>
      <w:sz w:val="17"/>
      <w:szCs w:val="17"/>
    </w:rPr>
  </w:style>
  <w:style w:type="paragraph" w:styleId="ac">
    <w:name w:val="Body Text Indent"/>
    <w:basedOn w:val="a"/>
    <w:link w:val="ad"/>
    <w:uiPriority w:val="99"/>
    <w:unhideWhenUsed/>
    <w:rsid w:val="008F0BA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8F0BA7"/>
    <w:rPr>
      <w:rFonts w:ascii="Times New Roman" w:eastAsia="Times New Roman" w:hAnsi="Times New Roman" w:cs="Times New Roman"/>
      <w:sz w:val="24"/>
      <w:szCs w:val="24"/>
      <w:lang w:eastAsia="ru-RU"/>
    </w:rPr>
  </w:style>
  <w:style w:type="paragraph" w:styleId="ae">
    <w:name w:val="List Paragraph"/>
    <w:basedOn w:val="a"/>
    <w:uiPriority w:val="34"/>
    <w:qFormat/>
    <w:rsid w:val="00022F22"/>
    <w:pPr>
      <w:ind w:left="720"/>
      <w:contextualSpacing/>
    </w:pPr>
  </w:style>
  <w:style w:type="paragraph" w:styleId="af">
    <w:name w:val="Balloon Text"/>
    <w:basedOn w:val="a"/>
    <w:link w:val="af0"/>
    <w:uiPriority w:val="99"/>
    <w:semiHidden/>
    <w:unhideWhenUsed/>
    <w:rsid w:val="004E076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E07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0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gk2.ru" TargetMode="External"/><Relationship Id="rId4" Type="http://schemas.microsoft.com/office/2007/relationships/stylesWithEffects" Target="stylesWithEffects.xml"/><Relationship Id="rId9" Type="http://schemas.openxmlformats.org/officeDocument/2006/relationships/hyperlink" Target="http://www.ogk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EC155-6BB9-47CF-B860-9E229073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2802</Words>
  <Characters>15973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MVSmirnov</dc:creator>
  <cp:lastModifiedBy>Admin</cp:lastModifiedBy>
  <cp:revision>3</cp:revision>
  <cp:lastPrinted>2014-04-08T07:20:00Z</cp:lastPrinted>
  <dcterms:created xsi:type="dcterms:W3CDTF">2014-07-24T08:46:00Z</dcterms:created>
  <dcterms:modified xsi:type="dcterms:W3CDTF">2014-09-08T07:40:00Z</dcterms:modified>
</cp:coreProperties>
</file>