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rPr>
          <w:b/>
          <w:color w:val="000000"/>
          <w:sz w:val="21"/>
          <w:szCs w:val="21"/>
        </w:rPr>
      </w:pPr>
      <w:r>
        <w:rPr>
          <w:b/>
          <w:bCs/>
          <w:sz w:val="21"/>
          <w:szCs w:val="21"/>
        </w:rPr>
        <w:t xml:space="preserve">Сообщение о существенном факте</w:t>
      </w:r>
      <w:r>
        <w:rPr>
          <w:b/>
          <w:bCs/>
          <w:sz w:val="21"/>
          <w:szCs w:val="21"/>
        </w:rPr>
        <w:br/>
        <w:t xml:space="preserve">«</w:t>
      </w:r>
      <w:r>
        <w:rPr>
          <w:b/>
          <w:color w:val="000000"/>
          <w:sz w:val="21"/>
          <w:szCs w:val="21"/>
        </w:rPr>
        <w:t xml:space="preserve">Об отдельных решениях, принятых советом директоров эмитента»</w:t>
      </w: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</w:p>
    <w:p>
      <w:pPr>
        <w:ind w:left="-284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ind w:left="-6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Общие сведения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634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74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Style w:val="974"/>
                <w:sz w:val="21"/>
                <w:szCs w:val="21"/>
              </w:rPr>
            </w:r>
            <w:r>
              <w:rPr>
                <w:rStyle w:val="974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74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Style w:val="974"/>
                <w:sz w:val="21"/>
                <w:szCs w:val="21"/>
              </w:rPr>
            </w:r>
            <w:r>
              <w:rPr>
                <w:rStyle w:val="974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1052600002180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2607018122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1.5. Уникальный код эмитента, присвоенный Банком России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65105-D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right="57"/>
              <w:rPr>
                <w:b/>
                <w:bCs/>
                <w:iCs/>
                <w:sz w:val="21"/>
                <w:szCs w:val="21"/>
              </w:rPr>
            </w:pPr>
            <w:r/>
            <w:hyperlink r:id="rId12" w:tooltip="https://www.ogk2.ru" w:history="1">
              <w:r>
                <w:rPr>
                  <w:rStyle w:val="964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64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64"/>
                  <w:b/>
                  <w:bCs/>
                  <w:iCs/>
                  <w:sz w:val="21"/>
                  <w:szCs w:val="21"/>
                </w:rPr>
                <w:t xml:space="preserve">://www.ogk2.ru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right="85"/>
              <w:rPr>
                <w:b/>
                <w:bCs/>
                <w:iCs/>
                <w:sz w:val="21"/>
                <w:szCs w:val="21"/>
              </w:rPr>
            </w:pPr>
            <w:r/>
            <w:hyperlink r:id="rId13" w:tooltip="https://www.e-disclosure.ru/portal/company.aspx?id=7234" w:history="1">
              <w:r>
                <w:rPr>
                  <w:rStyle w:val="964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64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64"/>
                  <w:b/>
                  <w:bCs/>
                  <w:iCs/>
                  <w:sz w:val="21"/>
                  <w:szCs w:val="21"/>
                </w:rPr>
                <w:t xml:space="preserve">://www.e-disclosure.ru/portal/company.aspx?id=7234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64"/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13.05</w:t>
            </w: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.202</w:t>
            </w: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6</w:t>
            </w:r>
            <w:r>
              <w:rPr>
                <w:rStyle w:val="964"/>
                <w:b/>
                <w:color w:val="000000" w:themeColor="text1"/>
                <w:sz w:val="21"/>
                <w:szCs w:val="21"/>
              </w:rPr>
            </w:r>
            <w:r>
              <w:rPr>
                <w:rStyle w:val="964"/>
                <w:b/>
                <w:color w:val="000000" w:themeColor="text1"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Содержание сообщения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2.1. </w:t>
            </w:r>
            <w:r>
              <w:rPr>
                <w:rFonts w:eastAsiaTheme="minorHAnsi"/>
                <w:color w:val="000000" w:themeColor="text1"/>
                <w:sz w:val="21"/>
                <w:szCs w:val="21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eastAsiaTheme="minorHAnsi"/>
                <w:color w:val="000000" w:themeColor="text1"/>
                <w:sz w:val="21"/>
                <w:szCs w:val="21"/>
              </w:rPr>
            </w:r>
            <w:r>
              <w:rPr>
                <w:rFonts w:eastAsiaTheme="minorHAnsi"/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tabs>
                <w:tab w:val="left" w:pos="547" w:leader="none"/>
              </w:tabs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2.2. Содержание решений, принятых советом директоров эмитента: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pStyle w:val="965"/>
              <w:jc w:val="both"/>
              <w:spacing w:after="0"/>
              <w:widowControl w:val="off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Вопрос:</w:t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  <w:p>
            <w:pPr>
              <w:pStyle w:val="976"/>
              <w:spacing w:before="20" w:after="2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О проведении годового заседания Общего собрания акционеров Общества и других вопросах, связанных с подготовкой  к заседанию и принятием решений Общим собранием акционеров.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bCs/>
                <w:color w:val="000000" w:themeColor="text1"/>
                <w:sz w:val="21"/>
                <w:szCs w:val="21"/>
              </w:rPr>
            </w:r>
            <w:r>
              <w:rPr>
                <w:bCs/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3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</w:t>
            </w:r>
            <w:r>
              <w:rPr>
                <w:sz w:val="21"/>
                <w:szCs w:val="21"/>
              </w:rPr>
              <w:tab/>
              <w:t xml:space="preserve">Провести годовое заседание Общего собрания акционеров ПАО «ОГК-2» (далее – Собрание).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</w:t>
            </w:r>
            <w:r>
              <w:rPr>
                <w:sz w:val="21"/>
                <w:szCs w:val="21"/>
              </w:rPr>
              <w:tab/>
              <w:t xml:space="preserve">Определить способ принятия решений Собранием: заседание, голосование на котором совмещается с заочным голосованием.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Возможность дистанционного участия в Собрании не предусмотрена.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</w:t>
            </w:r>
            <w:r>
              <w:rPr>
                <w:sz w:val="21"/>
                <w:szCs w:val="21"/>
              </w:rPr>
              <w:tab/>
              <w:t xml:space="preserve">Определить дату проведения Собрания: «18» июня 2026 г.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</w:t>
            </w:r>
            <w:r>
              <w:rPr>
                <w:sz w:val="21"/>
                <w:szCs w:val="21"/>
              </w:rPr>
              <w:tab/>
              <w:t xml:space="preserve">Определить время проведения Собрания: 11 часов 00 минут по местному времени.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</w:t>
            </w:r>
            <w:r>
              <w:rPr>
                <w:sz w:val="21"/>
                <w:szCs w:val="21"/>
              </w:rPr>
              <w:tab/>
              <w:t xml:space="preserve">Определить время начала регистрации лиц, участвующих в Собрании: 10 часов 00 минут по местному времени.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6.</w:t>
            </w:r>
            <w:r>
              <w:rPr>
                <w:sz w:val="21"/>
                <w:szCs w:val="21"/>
              </w:rPr>
              <w:tab/>
              <w:t xml:space="preserve">Определить дату окончания приема бюллетеней для голосования при заочном голосовании: «15» июня 2026 г.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7.</w:t>
            </w:r>
            <w:r>
              <w:rPr>
                <w:sz w:val="21"/>
                <w:szCs w:val="21"/>
              </w:rPr>
              <w:tab/>
              <w:t xml:space="preserve">Определить место проведения Собрания: г. Санкт-Петербург, пос. Шушары, Петербургское шоссе, д.62, корп.1 (отель Hilton St. Petersburg ExpoForum), конференц-зал "Бальный".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8.</w:t>
            </w:r>
            <w:r>
              <w:rPr>
                <w:sz w:val="21"/>
                <w:szCs w:val="21"/>
              </w:rPr>
              <w:tab/>
              <w:t xml:space="preserve">Установить дату, на которую определяются (фиксируются) лица, имеющие право голоса при принятии решений Собранием: «24» мая 2026 г.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</w:t>
            </w:r>
            <w:r>
              <w:rPr>
                <w:sz w:val="21"/>
                <w:szCs w:val="21"/>
              </w:rPr>
              <w:tab/>
              <w:t xml:space="preserve">Утвердить повестку дня Собрания в соответствии с Приложе</w:t>
            </w:r>
            <w:r>
              <w:rPr>
                <w:sz w:val="21"/>
                <w:szCs w:val="21"/>
              </w:rPr>
              <w:t xml:space="preserve">нием № 1</w:t>
            </w:r>
            <w:r>
              <w:rPr>
                <w:sz w:val="21"/>
                <w:szCs w:val="21"/>
              </w:rPr>
              <w:t xml:space="preserve"> к решению 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</w:t>
            </w:r>
            <w:r>
              <w:rPr>
                <w:sz w:val="21"/>
                <w:szCs w:val="21"/>
              </w:rPr>
              <w:tab/>
              <w:t xml:space="preserve">Утвердить форму и текст сообщения о проведении Собрания в</w:t>
            </w:r>
            <w:r>
              <w:rPr>
                <w:sz w:val="21"/>
                <w:szCs w:val="21"/>
              </w:rPr>
              <w:t xml:space="preserve"> соответствии с Приложением № </w:t>
            </w:r>
            <w:r>
              <w:rPr>
                <w:sz w:val="21"/>
                <w:szCs w:val="21"/>
              </w:rPr>
              <w:t xml:space="preserve">2 к решению 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11.</w:t>
            </w:r>
            <w:r>
              <w:rPr>
                <w:sz w:val="21"/>
                <w:szCs w:val="21"/>
              </w:rPr>
              <w:tab/>
              <w:t xml:space="preserve">Определить следующий порядок сообщения акционерам Общества о проведении Собрания: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сообщение о проведении Собрания размещается на официальном сайте Общества в сети Интернет по адресу www.ogk2.ru не позднее «15» мая 2026 г.;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сообщение о проведении Собрания направляется зарегистрированным в реестре акционеров Общества номинальным держателям акций в электронной форме (в форме электронных документов, подписанных электронной подписью) не позднее «26» мая 2026 г.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12.</w:t>
            </w:r>
            <w:r>
              <w:rPr>
                <w:sz w:val="21"/>
                <w:szCs w:val="21"/>
              </w:rPr>
              <w:tab/>
              <w:t xml:space="preserve">Определить, что в соответствии с п. 18.1. ст. 18 Устава Общества бюл</w:t>
            </w:r>
            <w:r>
              <w:rPr>
                <w:sz w:val="21"/>
                <w:szCs w:val="21"/>
              </w:rPr>
              <w:t xml:space="preserve">летени для голосования направляются каждому лицу, зарегистрированному в реестре акционеров Общества и имеющему право голоса при принятии решений Собранием, в виде электронного сообщения по адресу электронной почты, указанному в реестре акционеров Общества.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Определить дату направления бюллетеней для голосования на Собрании в виде электронного со</w:t>
            </w:r>
            <w:r>
              <w:rPr>
                <w:sz w:val="21"/>
                <w:szCs w:val="21"/>
              </w:rPr>
              <w:t xml:space="preserve">общения, содержащего электронный файл бюллетеня, лицам, имеющим право голоса при принятии решений Собранием, а также направления в электронной форме номинальным держателям акций, зарегистрированным в реестре акционеров Общества: не позднее «28» мая 2026 г.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13.</w:t>
            </w:r>
            <w:r>
              <w:rPr>
                <w:sz w:val="21"/>
                <w:szCs w:val="21"/>
              </w:rPr>
              <w:tab/>
              <w:t xml:space="preserve">Решение о приостановлении направления сообщений о проведении заседания и (или) бюллетеней для голосования, а также о приостановлении выплаты дивидендов, не принимать.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14.</w:t>
            </w:r>
            <w:r>
              <w:rPr>
                <w:sz w:val="21"/>
                <w:szCs w:val="21"/>
              </w:rPr>
              <w:tab/>
              <w:t xml:space="preserve">Определить, что заполненные бюллетени для голосования могут быть направлены по адресу: 196605, г. Санкт-Петербург, вн.тер.г. поселок Шушары, ш. Петербургское, д. 66, к. 1, литера А, этаж 7, помещ. 36-Н, каб. 701, ПАО «ОГК-2».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Бюллетень для голосования подписывается лицом, имеющим право голоса при принятии решений Собранием, или его представителем.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Электронная форма бюллетеней может быть заполнена на сайте регистратора www.draga.ru в информационно-телекоммуникационной сети Интернет в разде</w:t>
            </w:r>
            <w:r>
              <w:rPr>
                <w:sz w:val="21"/>
                <w:szCs w:val="21"/>
              </w:rPr>
              <w:t xml:space="preserve">ле Акционерам =&gt; Услуги =&gt; Участие в собрании акционеров =&gt; Заполнить электронную форму бюллетеня =&gt; Сервис «Личный кабинет акционера» (ПАО «ОГК-2») или по ссылке: https://draga.ru/akcioneram/uslugi/uchastie-v-sobranii-akcionerov/golosovanie/pao-ogk-2/  (д</w:t>
            </w:r>
            <w:r>
              <w:rPr>
                <w:sz w:val="21"/>
                <w:szCs w:val="21"/>
              </w:rPr>
              <w:t xml:space="preserve">ля участия в электронном голосовании акционер ПАО «ОГК-2» должен получить доступ к сервису «Личный кабинет акционера». С порядком получения доступа можно ознакомиться на странице https://draga.ru/akcioneram/jelektronnye-servisy/lichnyj-kabinet-akcionera/).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Лица, осуществляющие права по ценным бумагам, если их права на ценные бумаги учитываются номинальным держателем, иностранным номинальным держателем, иностранной организацией, имеющей право в соответствии с ее личным зако</w:t>
            </w:r>
            <w:r>
              <w:rPr>
                <w:sz w:val="21"/>
                <w:szCs w:val="21"/>
              </w:rPr>
              <w:t xml:space="preserve">ном осуществлять учет и переход прав на ценные бумаги, могут принять участие в Собрании и осуществить право голоса в порядке, установленном ст. 8.9. Федерального закона «О рынке ценных бумаг», с помощью электронных средств через депозитарную систему учета.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15.</w:t>
            </w:r>
            <w:r>
              <w:rPr>
                <w:sz w:val="21"/>
                <w:szCs w:val="21"/>
              </w:rPr>
              <w:tab/>
              <w:t xml:space="preserve">Определить, что принявшими участие в Собрании будут считаться акци</w:t>
            </w:r>
            <w:r>
              <w:rPr>
                <w:sz w:val="21"/>
                <w:szCs w:val="21"/>
              </w:rPr>
              <w:t xml:space="preserve">онеры, зарегистрировавшиеся для участия в нем, а также акционеры, бюллетени которых получены или электронная форма бюллетеней которых заполнена на указанном в сообщении о проведении Собрания сайте в сети Интернет не позднее «15» июня 2026 г., а также акцио</w:t>
            </w:r>
            <w:r>
              <w:rPr>
                <w:sz w:val="21"/>
                <w:szCs w:val="21"/>
              </w:rPr>
              <w:t xml:space="preserve">неры, которые в соответствии с правилами законодательства Российской Федерации о ценных бумагах дали лицам, осуществляющим учет их прав на акции, указания (инструкции) о голосовании, если сообщения об их волеизъявлении получены не позднее «15» июня 2026 г.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Право голоса по всем вопросам повестки дня имеют акционеры - владельцы обыкновенных акций Общества.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16.</w:t>
            </w:r>
            <w:r>
              <w:rPr>
                <w:sz w:val="21"/>
                <w:szCs w:val="21"/>
              </w:rPr>
              <w:tab/>
              <w:t xml:space="preserve">В связи с тем, что привилегированные акции Общества не выпускались, решения об определении типа (типов) привилегированных акций, владельцы которых обладают правом голоса по вопросам повестки дня Собрания, не принимается.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17.</w:t>
            </w:r>
            <w:r>
              <w:rPr>
                <w:sz w:val="21"/>
                <w:szCs w:val="21"/>
              </w:rPr>
              <w:tab/>
              <w:t xml:space="preserve">Определить, что информацией (материалами), предоставляемой лицам, имеющим право голоса при принятии решений Собранием, является: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проекты решений по вопросам повестки дня Собрания;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информация о проезде к месту проведения Собрания;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предложения/рекомендации/позиция Совета директоров Общества по вопросам повестки дня Собрания;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рекомендации комитетов Совета директоров по вопросам повестки дня Собрания;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годовой отчет Общества за 2025 год;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годовая бухгалтерская (финансовая) отчетность Общества за 2025 год, в том числе аудиторское заключение по результатам проверки такой отчетности;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заключение внутреннего аудита, осуществляемого в публичном обществе в соответствии со статьей 87.1 Федерального закона № 208-ФЗ от 26.12.1995 «Об акционерных обществах»;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отчет о заключенных Обществом в отчетном году сделках, в совершении которых имелась заинтересованность, утвержденный Советом директоров Общества;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сведения о кандидатах в Совет директоров Общества, в том числе об опыте и биографии кандидатов в Совет директоров Общества, информация о занимаемых кандидатами должностях за период не менее 5 последних лет, ин</w:t>
            </w:r>
            <w:r>
              <w:rPr>
                <w:sz w:val="21"/>
                <w:szCs w:val="21"/>
              </w:rPr>
              <w:t xml:space="preserve">формация о наличии или отсутствии письменного согласия выдвинутых кандидатов на избрание, а также сведения о соответствии кандидата в Совет директоров требованиям, предъявляемым к независимым директорам, сведения о лице (группе лиц), выдвинувших кандидата;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информация о требованиях законодательства к составу Совета директоров, а также требованиях и рекомендациях регулятора рынка ценных бумаг, на которых обращаются ценные бумаги Общества, и последствия их несоблюдения;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сведения о кандидатуре аудиторской организации Общества;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описание процедур, используемых при избрании аудиторской организации Общества  и о</w:t>
            </w:r>
            <w:r>
              <w:rPr>
                <w:sz w:val="21"/>
                <w:szCs w:val="21"/>
              </w:rPr>
              <w:t xml:space="preserve">беспечивающих их независимость и объективность, информация о факторах, которые могут оказать влияние на независимость аудиторской организации либо об отсутствии таковых, сведения о вознаграждении (отчетного периода и предлагаемого на предстоящий период) ау</w:t>
            </w:r>
            <w:r>
              <w:rPr>
                <w:sz w:val="21"/>
                <w:szCs w:val="21"/>
              </w:rPr>
              <w:t xml:space="preserve">диторской организации за услуги аудиторского и неаудиторского характера, обо всех услугах, оказанных аудиторской организацией в отчетном периоде и оказываемых на данный момент, информация о существенных условиях проекта договора с аудиторской организацией;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проекты новых редакций Устава и внутренних документов, таблицы сравнения вносимых изменений в Устав </w:t>
            </w:r>
            <w:r>
              <w:rPr>
                <w:sz w:val="21"/>
                <w:szCs w:val="21"/>
              </w:rPr>
              <w:t xml:space="preserve">и внутренние документы Общества</w:t>
            </w:r>
            <w:r>
              <w:rPr>
                <w:sz w:val="21"/>
                <w:szCs w:val="21"/>
              </w:rPr>
              <w:t xml:space="preserve"> с текущей редакцией, обоснование необходимости принятия соответствующих решений;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предусмотренная статьей 32.1 Федерального зак</w:t>
            </w:r>
            <w:r>
              <w:rPr>
                <w:sz w:val="21"/>
                <w:szCs w:val="21"/>
              </w:rPr>
              <w:t xml:space="preserve">она «Об акционерных обществах» информация об акционерных соглашениях, заключенных в течение года до даты проведения Собрания;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сведения об общей сумме невостребованных дивидендов Общества, определенной по данным его бухгалтерской (финансовой) отчетности на последнюю отчетную дату перед принятием решения о проведении годового Собрания;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сведения об общем количестве акционеров, в отношении к</w:t>
            </w:r>
            <w:r>
              <w:rPr>
                <w:sz w:val="21"/>
                <w:szCs w:val="21"/>
              </w:rPr>
              <w:t xml:space="preserve">оторых приостановлены направление сообщений о проведении заседания или заочного голосования и (или) бюллетеней для голосования, выплата дивидендов, и о доле принадлежащих им акций в уставном капитале общества и в общем количестве голосующих акций общества;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разъяснения о важно</w:t>
            </w:r>
            <w:r>
              <w:rPr>
                <w:sz w:val="21"/>
                <w:szCs w:val="21"/>
              </w:rPr>
              <w:t xml:space="preserve">сти своевременного извещения регистратора Общества об изменении данных акционеров (реквизиты банковского счета, почтовый адрес, адрес электронной почты и т.п.), а также последствий и рисков, связанных с несвоевременным извещением об изменении таких данных;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</w:t>
            </w:r>
            <w:r>
              <w:rPr>
                <w:sz w:val="21"/>
                <w:szCs w:val="21"/>
              </w:rPr>
              <w:tab/>
              <w:t xml:space="preserve"> примерная форма доверенности, которую акционер может выдать своему представителю для участия в Собрании, информация о порядке удостоверения такой доверенности.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 указанной</w:t>
            </w:r>
            <w:r>
              <w:rPr>
                <w:sz w:val="21"/>
                <w:szCs w:val="21"/>
              </w:rPr>
              <w:t xml:space="preserve"> информацией (материалами) лица, имеющие право голоса при принятии решений Собрания, могут ознакомиться в течение 20 дней до даты заседания (Собрания)  в рабочие дни с 09 часов 00 минут до 16 часов 00 минут по адресу: г. Санкт-Петербург, вн.тер.г. поселок </w:t>
            </w:r>
            <w:r>
              <w:rPr>
                <w:sz w:val="21"/>
                <w:szCs w:val="21"/>
              </w:rPr>
              <w:t xml:space="preserve">Шушары, ш. Петербургское, д.66, к. 1, литера А (ПАО «ОГК-2»), а также во время проведения Собрания - по месту его проведения.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Указанная информация (материалы) также рассылается номинальным держателям акций в электронном виде не позднее «28» мая 2026 г.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6"/>
              <w:spacing w:before="20" w:after="20"/>
              <w:tabs>
                <w:tab w:val="left" w:pos="426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18.</w:t>
            </w:r>
            <w:r>
              <w:rPr>
                <w:sz w:val="21"/>
                <w:szCs w:val="21"/>
              </w:rPr>
              <w:tab/>
              <w:t xml:space="preserve">Определить, что председательствующи</w:t>
            </w:r>
            <w:r>
              <w:rPr>
                <w:sz w:val="21"/>
                <w:szCs w:val="21"/>
              </w:rPr>
              <w:t xml:space="preserve">м на Собрании является Председатель Совета директоров Общества. В случае его отсутствия на Собрании председательствует  Коробкина Ирина Юрьевна, в случае ее отсутствия – Бикмурзин Альберт Фяритович, а в случае его отсутствия – Семиколенов Артем Викторович.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2.3. </w:t>
            </w:r>
            <w:r>
              <w:rPr>
                <w:sz w:val="21"/>
                <w:szCs w:val="21"/>
              </w:rPr>
              <w:t xml:space="preserve">Идентификационны</w:t>
            </w:r>
            <w:r>
              <w:rPr>
                <w:color w:val="000000" w:themeColor="text1"/>
                <w:sz w:val="21"/>
                <w:szCs w:val="21"/>
              </w:rPr>
              <w:t xml:space="preserve">е признаки ценных бумаг (акций, владельцы которых имеют право на участие в общем собрании акционеров эмитента):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акции обыкновенные, государственный регистрационный </w:t>
            </w:r>
            <w:r>
              <w:rPr>
                <w:b/>
                <w:color w:val="000000" w:themeColor="text1"/>
                <w:sz w:val="21"/>
                <w:szCs w:val="21"/>
              </w:rPr>
              <w:br/>
              <w:t xml:space="preserve">номер 1-02-65105-D от 19.04.2007, международный код (номер) идентификации ценных бумаг (ISIN): RU000A0JNG55, международный код классификации финансовых инструментов (CFI): ESVXFR.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</w:t>
            </w:r>
            <w:r>
              <w:rPr>
                <w:color w:val="000000" w:themeColor="text1"/>
                <w:sz w:val="21"/>
                <w:szCs w:val="21"/>
              </w:rPr>
              <w:t xml:space="preserve">4</w:t>
            </w:r>
            <w:r>
              <w:rPr>
                <w:color w:val="000000" w:themeColor="text1"/>
                <w:sz w:val="21"/>
                <w:szCs w:val="21"/>
              </w:rPr>
              <w:t xml:space="preserve">. Дата проведения заседания совета директоров эмитента, на котором приняты решения: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13.05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.2026</w:t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rPr>
                <w:rFonts w:eastAsiaTheme="minorHAnsi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</w:t>
            </w:r>
            <w:r>
              <w:rPr>
                <w:color w:val="000000" w:themeColor="text1"/>
                <w:sz w:val="21"/>
                <w:szCs w:val="21"/>
              </w:rPr>
              <w:t xml:space="preserve">5</w:t>
            </w:r>
            <w:r>
              <w:rPr>
                <w:color w:val="000000" w:themeColor="text1"/>
                <w:sz w:val="21"/>
                <w:szCs w:val="21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Протокол от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13.05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.2026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№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37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7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rFonts w:eastAsiaTheme="minorHAnsi"/>
                <w:color w:val="000000" w:themeColor="text1"/>
                <w:sz w:val="21"/>
                <w:szCs w:val="21"/>
              </w:rPr>
            </w:r>
            <w:r>
              <w:rPr>
                <w:rFonts w:eastAsiaTheme="minorHAnsi"/>
                <w:color w:val="000000" w:themeColor="text1"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83"/>
        <w:gridCol w:w="271"/>
        <w:gridCol w:w="1317"/>
        <w:gridCol w:w="416"/>
        <w:gridCol w:w="307"/>
        <w:gridCol w:w="1209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Подпись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73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3.1. </w:t>
            </w:r>
            <w:r>
              <w:rPr>
                <w:b/>
                <w:color w:val="000000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№ 78/362-н/78-2025-3-1278 </w:t>
            </w:r>
            <w:r>
              <w:rPr>
                <w:b/>
                <w:color w:val="000000"/>
                <w:sz w:val="21"/>
                <w:szCs w:val="21"/>
              </w:rPr>
            </w:r>
            <w:r>
              <w:rPr>
                <w:b/>
                <w:color w:val="000000"/>
                <w:sz w:val="21"/>
                <w:szCs w:val="21"/>
              </w:rPr>
            </w:r>
          </w:p>
          <w:p>
            <w:pPr>
              <w:pStyle w:val="973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от 10</w:t>
            </w:r>
            <w:r>
              <w:rPr>
                <w:b/>
                <w:bCs/>
                <w:sz w:val="21"/>
                <w:szCs w:val="21"/>
              </w:rPr>
              <w:t xml:space="preserve">.12.2025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Е.Н. Егорова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(подпись)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3.2. Дата  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14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27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 xml:space="preserve">мая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20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</w:t>
            </w:r>
            <w:r>
              <w:rPr>
                <w:color w:val="000000" w:themeColor="text1"/>
                <w:sz w:val="21"/>
                <w:szCs w:val="21"/>
              </w:rPr>
              <w:t xml:space="preserve">6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2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tabs>
          <w:tab w:val="left" w:pos="2895" w:leader="none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1"/>
          <w:szCs w:val="21"/>
        </w:rPr>
      </w:r>
      <w:r>
        <w:rPr>
          <w:color w:val="000000" w:themeColor="text1"/>
          <w:sz w:val="21"/>
          <w:szCs w:val="21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Style w:val="963"/>
      </w:rPr>
      <w:framePr w:wrap="around" w:vAnchor="text" w:hAnchor="margin" w:xAlign="center" w:y="1"/>
    </w:pPr>
    <w:r>
      <w:rPr>
        <w:rStyle w:val="963"/>
      </w:rPr>
      <w:fldChar w:fldCharType="begin"/>
    </w:r>
    <w:r>
      <w:rPr>
        <w:rStyle w:val="963"/>
      </w:rPr>
      <w:instrText xml:space="preserve">PAGE  </w:instrText>
    </w:r>
    <w:r>
      <w:rPr>
        <w:rStyle w:val="963"/>
      </w:rPr>
      <w:fldChar w:fldCharType="separate"/>
    </w:r>
    <w:r>
      <w:rPr>
        <w:rStyle w:val="963"/>
      </w:rPr>
      <w:t xml:space="preserve">3</w:t>
    </w:r>
    <w:r>
      <w:rPr>
        <w:rStyle w:val="963"/>
      </w:rPr>
      <w:fldChar w:fldCharType="end"/>
    </w:r>
    <w:r>
      <w:rPr>
        <w:rStyle w:val="963"/>
      </w:rPr>
    </w:r>
    <w:r>
      <w:rPr>
        <w:rStyle w:val="963"/>
      </w:rPr>
    </w:r>
  </w:p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7"/>
  </w:num>
  <w:num w:numId="4">
    <w:abstractNumId w:val="37"/>
  </w:num>
  <w:num w:numId="5">
    <w:abstractNumId w:val="13"/>
  </w:num>
  <w:num w:numId="6">
    <w:abstractNumId w:val="11"/>
  </w:num>
  <w:num w:numId="7">
    <w:abstractNumId w:val="24"/>
  </w:num>
  <w:num w:numId="8">
    <w:abstractNumId w:val="9"/>
  </w:num>
  <w:num w:numId="9">
    <w:abstractNumId w:val="19"/>
  </w:num>
  <w:num w:numId="10">
    <w:abstractNumId w:val="3"/>
  </w:num>
  <w:num w:numId="11">
    <w:abstractNumId w:val="29"/>
  </w:num>
  <w:num w:numId="12">
    <w:abstractNumId w:val="12"/>
  </w:num>
  <w:num w:numId="13">
    <w:abstractNumId w:val="4"/>
  </w:num>
  <w:num w:numId="14">
    <w:abstractNumId w:val="25"/>
  </w:num>
  <w:num w:numId="15">
    <w:abstractNumId w:val="31"/>
  </w:num>
  <w:num w:numId="16">
    <w:abstractNumId w:val="34"/>
  </w:num>
  <w:num w:numId="17">
    <w:abstractNumId w:val="21"/>
  </w:num>
  <w:num w:numId="18">
    <w:abstractNumId w:val="28"/>
  </w:num>
  <w:num w:numId="19">
    <w:abstractNumId w:val="15"/>
  </w:num>
  <w:num w:numId="20">
    <w:abstractNumId w:val="18"/>
  </w:num>
  <w:num w:numId="21">
    <w:abstractNumId w:val="36"/>
  </w:num>
  <w:num w:numId="22">
    <w:abstractNumId w:val="16"/>
  </w:num>
  <w:num w:numId="23">
    <w:abstractNumId w:val="5"/>
  </w:num>
  <w:num w:numId="24">
    <w:abstractNumId w:val="14"/>
  </w:num>
  <w:num w:numId="25">
    <w:abstractNumId w:val="33"/>
  </w:num>
  <w:num w:numId="26">
    <w:abstractNumId w:val="35"/>
  </w:num>
  <w:num w:numId="27">
    <w:abstractNumId w:val="0"/>
  </w:num>
  <w:num w:numId="28">
    <w:abstractNumId w:val="7"/>
  </w:num>
  <w:num w:numId="29">
    <w:abstractNumId w:val="10"/>
  </w:num>
  <w:num w:numId="30">
    <w:abstractNumId w:val="6"/>
  </w:num>
  <w:num w:numId="31">
    <w:abstractNumId w:val="17"/>
  </w:num>
  <w:num w:numId="32">
    <w:abstractNumId w:val="23"/>
  </w:num>
  <w:num w:numId="33">
    <w:abstractNumId w:val="20"/>
  </w:num>
  <w:num w:numId="34">
    <w:abstractNumId w:val="1"/>
  </w:num>
  <w:num w:numId="35">
    <w:abstractNumId w:val="26"/>
  </w:num>
  <w:num w:numId="36">
    <w:abstractNumId w:val="32"/>
  </w:num>
  <w:num w:numId="37">
    <w:abstractNumId w:val="3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71">
    <w:name w:val="Heading 1"/>
    <w:basedOn w:val="770"/>
    <w:next w:val="770"/>
    <w:link w:val="7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2">
    <w:name w:val="Heading 2"/>
    <w:basedOn w:val="770"/>
    <w:next w:val="770"/>
    <w:link w:val="7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3">
    <w:name w:val="Heading 3"/>
    <w:basedOn w:val="770"/>
    <w:next w:val="770"/>
    <w:link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Heading 4"/>
    <w:basedOn w:val="770"/>
    <w:next w:val="770"/>
    <w:link w:val="8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770"/>
    <w:next w:val="770"/>
    <w:link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770"/>
    <w:next w:val="770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770"/>
    <w:next w:val="770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770"/>
    <w:next w:val="770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770"/>
    <w:next w:val="770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 w:default="1">
    <w:name w:val="Default Paragraph Font"/>
    <w:uiPriority w:val="1"/>
    <w:semiHidden/>
    <w:unhideWhenUsed/>
  </w:style>
  <w:style w:type="table" w:styleId="7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2" w:default="1">
    <w:name w:val="No List"/>
    <w:uiPriority w:val="99"/>
    <w:semiHidden/>
    <w:unhideWhenUsed/>
  </w:style>
  <w:style w:type="character" w:styleId="783" w:customStyle="1">
    <w:name w:val="Heading 1 Char"/>
    <w:basedOn w:val="780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Heading 2 Char"/>
    <w:basedOn w:val="780"/>
    <w:uiPriority w:val="9"/>
    <w:rPr>
      <w:rFonts w:ascii="Arial" w:hAnsi="Arial" w:eastAsia="Arial" w:cs="Arial"/>
      <w:sz w:val="34"/>
    </w:rPr>
  </w:style>
  <w:style w:type="character" w:styleId="785" w:customStyle="1">
    <w:name w:val="Heading 3 Char"/>
    <w:basedOn w:val="780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Heading 4 Char"/>
    <w:basedOn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Heading 5 Char"/>
    <w:basedOn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Heading 6 Char"/>
    <w:basedOn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Heading 7 Char"/>
    <w:basedOn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8 Char"/>
    <w:basedOn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Heading 9 Char"/>
    <w:basedOn w:val="780"/>
    <w:uiPriority w:val="9"/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Title Char"/>
    <w:basedOn w:val="780"/>
    <w:uiPriority w:val="10"/>
    <w:rPr>
      <w:sz w:val="48"/>
      <w:szCs w:val="48"/>
    </w:rPr>
  </w:style>
  <w:style w:type="character" w:styleId="793" w:customStyle="1">
    <w:name w:val="Subtitle Char"/>
    <w:basedOn w:val="780"/>
    <w:uiPriority w:val="11"/>
    <w:rPr>
      <w:sz w:val="24"/>
      <w:szCs w:val="24"/>
    </w:rPr>
  </w:style>
  <w:style w:type="character" w:styleId="794" w:customStyle="1">
    <w:name w:val="Quote Char"/>
    <w:uiPriority w:val="29"/>
    <w:rPr>
      <w:i/>
    </w:rPr>
  </w:style>
  <w:style w:type="character" w:styleId="795" w:customStyle="1">
    <w:name w:val="Intense Quote Char"/>
    <w:uiPriority w:val="30"/>
    <w:rPr>
      <w:i/>
    </w:rPr>
  </w:style>
  <w:style w:type="character" w:styleId="796" w:customStyle="1">
    <w:name w:val="Footnote Text Char"/>
    <w:uiPriority w:val="99"/>
    <w:rPr>
      <w:sz w:val="18"/>
    </w:rPr>
  </w:style>
  <w:style w:type="character" w:styleId="797" w:customStyle="1">
    <w:name w:val="Endnote Text Char"/>
    <w:uiPriority w:val="99"/>
    <w:rPr>
      <w:sz w:val="20"/>
    </w:rPr>
  </w:style>
  <w:style w:type="character" w:styleId="798" w:customStyle="1">
    <w:name w:val="Заголовок 1 Знак"/>
    <w:basedOn w:val="780"/>
    <w:link w:val="771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80"/>
    <w:link w:val="772"/>
    <w:uiPriority w:val="9"/>
    <w:rPr>
      <w:rFonts w:ascii="Arial" w:hAnsi="Arial" w:eastAsia="Arial" w:cs="Arial"/>
      <w:sz w:val="34"/>
    </w:rPr>
  </w:style>
  <w:style w:type="character" w:styleId="800" w:customStyle="1">
    <w:name w:val="Заголовок 3 Знак"/>
    <w:basedOn w:val="780"/>
    <w:link w:val="773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basedOn w:val="780"/>
    <w:link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80"/>
    <w:link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80"/>
    <w:link w:val="776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0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0"/>
    <w:link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0"/>
    <w:link w:val="779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Title"/>
    <w:basedOn w:val="770"/>
    <w:next w:val="770"/>
    <w:link w:val="8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8" w:customStyle="1">
    <w:name w:val="Название Знак"/>
    <w:basedOn w:val="780"/>
    <w:link w:val="807"/>
    <w:uiPriority w:val="10"/>
    <w:rPr>
      <w:sz w:val="48"/>
      <w:szCs w:val="48"/>
    </w:rPr>
  </w:style>
  <w:style w:type="paragraph" w:styleId="809">
    <w:name w:val="Subtitle"/>
    <w:basedOn w:val="770"/>
    <w:next w:val="770"/>
    <w:link w:val="810"/>
    <w:uiPriority w:val="11"/>
    <w:qFormat/>
    <w:pPr>
      <w:spacing w:before="200" w:after="200"/>
    </w:pPr>
    <w:rPr>
      <w:sz w:val="24"/>
      <w:szCs w:val="24"/>
    </w:rPr>
  </w:style>
  <w:style w:type="character" w:styleId="810" w:customStyle="1">
    <w:name w:val="Подзаголовок Знак"/>
    <w:basedOn w:val="780"/>
    <w:link w:val="809"/>
    <w:uiPriority w:val="11"/>
    <w:rPr>
      <w:sz w:val="24"/>
      <w:szCs w:val="24"/>
    </w:rPr>
  </w:style>
  <w:style w:type="paragraph" w:styleId="811">
    <w:name w:val="Quote"/>
    <w:basedOn w:val="770"/>
    <w:next w:val="770"/>
    <w:link w:val="812"/>
    <w:uiPriority w:val="29"/>
    <w:qFormat/>
    <w:pPr>
      <w:ind w:left="720" w:right="720"/>
    </w:pPr>
    <w:rPr>
      <w:i/>
    </w:rPr>
  </w:style>
  <w:style w:type="character" w:styleId="812" w:customStyle="1">
    <w:name w:val="Цитата 2 Знак"/>
    <w:link w:val="811"/>
    <w:uiPriority w:val="29"/>
    <w:rPr>
      <w:i/>
    </w:rPr>
  </w:style>
  <w:style w:type="paragraph" w:styleId="813">
    <w:name w:val="Intense Quote"/>
    <w:basedOn w:val="770"/>
    <w:next w:val="770"/>
    <w:link w:val="8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4" w:customStyle="1">
    <w:name w:val="Выделенная цитата Знак"/>
    <w:link w:val="813"/>
    <w:uiPriority w:val="30"/>
    <w:rPr>
      <w:i/>
    </w:rPr>
  </w:style>
  <w:style w:type="character" w:styleId="815" w:customStyle="1">
    <w:name w:val="Header Char"/>
    <w:basedOn w:val="780"/>
    <w:uiPriority w:val="99"/>
  </w:style>
  <w:style w:type="character" w:styleId="816" w:customStyle="1">
    <w:name w:val="Footer Char"/>
    <w:basedOn w:val="780"/>
    <w:uiPriority w:val="99"/>
  </w:style>
  <w:style w:type="paragraph" w:styleId="817">
    <w:name w:val="Caption"/>
    <w:basedOn w:val="770"/>
    <w:next w:val="770"/>
    <w:link w:val="81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8" w:customStyle="1">
    <w:name w:val="Caption Char"/>
    <w:uiPriority w:val="99"/>
  </w:style>
  <w:style w:type="table" w:styleId="819" w:customStyle="1">
    <w:name w:val="Table Grid Light"/>
    <w:basedOn w:val="7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2"/>
    <w:basedOn w:val="7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3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8" w:customStyle="1">
    <w:name w:val="Grid Table 4 - Accent 2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Grid Table 4 - Accent 3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0" w:customStyle="1">
    <w:name w:val="Grid Table 4 - Accent 4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Grid Table 4 - Accent 5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2" w:customStyle="1">
    <w:name w:val="Grid Table 4 - Accent 6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3">
    <w:name w:val="Grid Table 5 Dark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2" w:customStyle="1">
    <w:name w:val="Grid Table 6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3" w:customStyle="1">
    <w:name w:val="Grid Table 6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4" w:customStyle="1">
    <w:name w:val="Grid Table 6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5" w:customStyle="1">
    <w:name w:val="Grid Table 6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6" w:customStyle="1">
    <w:name w:val="Grid Table 6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7">
    <w:name w:val="Grid Table 7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8">
    <w:name w:val="List Table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>
    <w:name w:val="List Table 6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0" w:customStyle="1">
    <w:name w:val="List Table 6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1" w:customStyle="1">
    <w:name w:val="List Table 6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2" w:customStyle="1">
    <w:name w:val="List Table 6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3" w:customStyle="1">
    <w:name w:val="List Table 6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4" w:customStyle="1">
    <w:name w:val="List Table 6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5" w:customStyle="1">
    <w:name w:val="List Table 6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6">
    <w:name w:val="List Table 7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4" w:customStyle="1">
    <w:name w:val="Lined - Accent 1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5" w:customStyle="1">
    <w:name w:val="Lined - Accent 2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6" w:customStyle="1">
    <w:name w:val="Lined - Accent 3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7" w:customStyle="1">
    <w:name w:val="Lined - Accent 4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8" w:customStyle="1">
    <w:name w:val="Lined - Accent 5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9" w:customStyle="1">
    <w:name w:val="Lined - Accent 6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0" w:customStyle="1">
    <w:name w:val="Bordered &amp; Lined - Accent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Bordered &amp; Lined - Accent 1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2" w:customStyle="1">
    <w:name w:val="Bordered &amp; Lined - Accent 2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3" w:customStyle="1">
    <w:name w:val="Bordered &amp; Lined - Accent 3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4" w:customStyle="1">
    <w:name w:val="Bordered &amp; Lined - Accent 4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5" w:customStyle="1">
    <w:name w:val="Bordered &amp; Lined - Accent 5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6" w:customStyle="1">
    <w:name w:val="Bordered &amp; Lined - Accent 6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7" w:customStyle="1">
    <w:name w:val="Bordered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8" w:customStyle="1">
    <w:name w:val="Bordered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9" w:customStyle="1">
    <w:name w:val="Bordered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0" w:customStyle="1">
    <w:name w:val="Bordered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1" w:customStyle="1">
    <w:name w:val="Bordered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2" w:customStyle="1">
    <w:name w:val="Bordered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3" w:customStyle="1">
    <w:name w:val="Bordered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44">
    <w:name w:val="footnote text"/>
    <w:basedOn w:val="770"/>
    <w:link w:val="945"/>
    <w:uiPriority w:val="99"/>
    <w:semiHidden/>
    <w:unhideWhenUsed/>
    <w:pPr>
      <w:spacing w:after="40"/>
    </w:pPr>
    <w:rPr>
      <w:sz w:val="18"/>
    </w:rPr>
  </w:style>
  <w:style w:type="character" w:styleId="945" w:customStyle="1">
    <w:name w:val="Текст сноски Знак"/>
    <w:link w:val="944"/>
    <w:uiPriority w:val="99"/>
    <w:rPr>
      <w:sz w:val="18"/>
    </w:rPr>
  </w:style>
  <w:style w:type="character" w:styleId="946">
    <w:name w:val="footnote reference"/>
    <w:basedOn w:val="780"/>
    <w:uiPriority w:val="99"/>
    <w:unhideWhenUsed/>
    <w:rPr>
      <w:vertAlign w:val="superscript"/>
    </w:rPr>
  </w:style>
  <w:style w:type="paragraph" w:styleId="947">
    <w:name w:val="endnote text"/>
    <w:basedOn w:val="770"/>
    <w:link w:val="948"/>
    <w:uiPriority w:val="99"/>
    <w:semiHidden/>
    <w:unhideWhenUsed/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basedOn w:val="780"/>
    <w:uiPriority w:val="99"/>
    <w:semiHidden/>
    <w:unhideWhenUsed/>
    <w:rPr>
      <w:vertAlign w:val="superscript"/>
    </w:rPr>
  </w:style>
  <w:style w:type="paragraph" w:styleId="950">
    <w:name w:val="toc 1"/>
    <w:basedOn w:val="770"/>
    <w:next w:val="770"/>
    <w:uiPriority w:val="39"/>
    <w:unhideWhenUsed/>
    <w:pPr>
      <w:spacing w:after="57"/>
    </w:pPr>
  </w:style>
  <w:style w:type="paragraph" w:styleId="951">
    <w:name w:val="toc 2"/>
    <w:basedOn w:val="770"/>
    <w:next w:val="770"/>
    <w:uiPriority w:val="39"/>
    <w:unhideWhenUsed/>
    <w:pPr>
      <w:ind w:left="283"/>
      <w:spacing w:after="57"/>
    </w:pPr>
  </w:style>
  <w:style w:type="paragraph" w:styleId="952">
    <w:name w:val="toc 3"/>
    <w:basedOn w:val="770"/>
    <w:next w:val="770"/>
    <w:uiPriority w:val="39"/>
    <w:unhideWhenUsed/>
    <w:pPr>
      <w:ind w:left="567"/>
      <w:spacing w:after="57"/>
    </w:pPr>
  </w:style>
  <w:style w:type="paragraph" w:styleId="953">
    <w:name w:val="toc 4"/>
    <w:basedOn w:val="770"/>
    <w:next w:val="770"/>
    <w:uiPriority w:val="39"/>
    <w:unhideWhenUsed/>
    <w:pPr>
      <w:ind w:left="850"/>
      <w:spacing w:after="57"/>
    </w:pPr>
  </w:style>
  <w:style w:type="paragraph" w:styleId="954">
    <w:name w:val="toc 5"/>
    <w:basedOn w:val="770"/>
    <w:next w:val="770"/>
    <w:uiPriority w:val="39"/>
    <w:unhideWhenUsed/>
    <w:pPr>
      <w:ind w:left="1134"/>
      <w:spacing w:after="57"/>
    </w:pPr>
  </w:style>
  <w:style w:type="paragraph" w:styleId="955">
    <w:name w:val="toc 6"/>
    <w:basedOn w:val="770"/>
    <w:next w:val="770"/>
    <w:uiPriority w:val="39"/>
    <w:unhideWhenUsed/>
    <w:pPr>
      <w:ind w:left="1417"/>
      <w:spacing w:after="57"/>
    </w:pPr>
  </w:style>
  <w:style w:type="paragraph" w:styleId="956">
    <w:name w:val="toc 7"/>
    <w:basedOn w:val="770"/>
    <w:next w:val="770"/>
    <w:uiPriority w:val="39"/>
    <w:unhideWhenUsed/>
    <w:pPr>
      <w:ind w:left="1701"/>
      <w:spacing w:after="57"/>
    </w:pPr>
  </w:style>
  <w:style w:type="paragraph" w:styleId="957">
    <w:name w:val="toc 8"/>
    <w:basedOn w:val="770"/>
    <w:next w:val="770"/>
    <w:uiPriority w:val="39"/>
    <w:unhideWhenUsed/>
    <w:pPr>
      <w:ind w:left="1984"/>
      <w:spacing w:after="57"/>
    </w:pPr>
  </w:style>
  <w:style w:type="paragraph" w:styleId="958">
    <w:name w:val="toc 9"/>
    <w:basedOn w:val="770"/>
    <w:next w:val="770"/>
    <w:uiPriority w:val="39"/>
    <w:unhideWhenUsed/>
    <w:pPr>
      <w:ind w:left="2268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770"/>
    <w:next w:val="770"/>
    <w:uiPriority w:val="99"/>
    <w:unhideWhenUsed/>
  </w:style>
  <w:style w:type="paragraph" w:styleId="961">
    <w:name w:val="Header"/>
    <w:basedOn w:val="770"/>
    <w:link w:val="962"/>
    <w:pPr>
      <w:tabs>
        <w:tab w:val="center" w:pos="4153" w:leader="none"/>
        <w:tab w:val="right" w:pos="8306" w:leader="none"/>
      </w:tabs>
    </w:pPr>
  </w:style>
  <w:style w:type="character" w:styleId="962" w:customStyle="1">
    <w:name w:val="Верхний колонтитул Знак"/>
    <w:basedOn w:val="780"/>
    <w:link w:val="96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3">
    <w:name w:val="page number"/>
    <w:basedOn w:val="780"/>
  </w:style>
  <w:style w:type="character" w:styleId="964">
    <w:name w:val="Hyperlink"/>
    <w:rPr>
      <w:color w:val="0000ff"/>
      <w:u w:val="single"/>
    </w:rPr>
  </w:style>
  <w:style w:type="paragraph" w:styleId="965">
    <w:name w:val="Body Text"/>
    <w:basedOn w:val="770"/>
    <w:link w:val="966"/>
    <w:pPr>
      <w:spacing w:after="120"/>
    </w:pPr>
  </w:style>
  <w:style w:type="character" w:styleId="966" w:customStyle="1">
    <w:name w:val="Основной текст Знак"/>
    <w:basedOn w:val="780"/>
    <w:link w:val="96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7">
    <w:name w:val="Footer"/>
    <w:basedOn w:val="770"/>
    <w:link w:val="968"/>
    <w:uiPriority w:val="99"/>
    <w:pPr>
      <w:tabs>
        <w:tab w:val="center" w:pos="4677" w:leader="none"/>
        <w:tab w:val="right" w:pos="9355" w:leader="none"/>
      </w:tabs>
    </w:pPr>
  </w:style>
  <w:style w:type="character" w:styleId="968" w:customStyle="1">
    <w:name w:val="Нижний колонтитул Знак"/>
    <w:basedOn w:val="780"/>
    <w:link w:val="96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9">
    <w:name w:val="Balloon Text"/>
    <w:basedOn w:val="770"/>
    <w:link w:val="97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0" w:customStyle="1">
    <w:name w:val="Текст выноски Знак"/>
    <w:basedOn w:val="780"/>
    <w:link w:val="96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71">
    <w:name w:val="List Paragraph"/>
    <w:basedOn w:val="770"/>
    <w:link w:val="97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2" w:customStyle="1">
    <w:name w:val="Абзац списка Знак"/>
    <w:link w:val="971"/>
    <w:uiPriority w:val="34"/>
    <w:rPr>
      <w:rFonts w:ascii="Calibri" w:hAnsi="Calibri" w:eastAsia="Calibri" w:cs="Times New Roman"/>
    </w:rPr>
  </w:style>
  <w:style w:type="paragraph" w:styleId="97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4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75">
    <w:name w:val="Table Grid"/>
    <w:basedOn w:val="7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6" w:customStyle="1">
    <w:name w:val="Абзац 3"/>
    <w:basedOn w:val="770"/>
    <w:hidden/>
    <w:pPr>
      <w:jc w:val="both"/>
    </w:pPr>
    <w:rPr>
      <w:rFonts w:eastAsiaTheme="minorEastAsia" w:cstheme="minorBidi"/>
      <w:sz w:val="24"/>
      <w:szCs w:val="22"/>
    </w:rPr>
  </w:style>
  <w:style w:type="character" w:styleId="977">
    <w:name w:val="Subtle Emphasis"/>
    <w:basedOn w:val="780"/>
    <w:uiPriority w:val="19"/>
    <w:qFormat/>
    <w:rPr>
      <w:i/>
      <w:iCs/>
      <w:color w:val="404040" w:themeColor="text1" w:themeTint="BF"/>
    </w:rPr>
  </w:style>
  <w:style w:type="character" w:styleId="978">
    <w:name w:val="Strong"/>
    <w:basedOn w:val="780"/>
    <w:uiPriority w:val="22"/>
    <w:qFormat/>
    <w:rPr>
      <w:b/>
      <w:bCs/>
    </w:rPr>
  </w:style>
  <w:style w:type="character" w:styleId="979" w:customStyle="1">
    <w:name w:val="Subst"/>
    <w:uiPriority w:val="99"/>
    <w:rPr>
      <w:b/>
      <w:i/>
    </w:rPr>
  </w:style>
  <w:style w:type="paragraph" w:styleId="980" w:customStyle="1">
    <w:name w:val="Абзац 4"/>
    <w:basedOn w:val="770"/>
    <w:pPr>
      <w:jc w:val="both"/>
    </w:pPr>
    <w:rPr>
      <w:rFonts w:eastAsiaTheme="minorEastAsia" w:cstheme="minorBidi"/>
      <w:sz w:val="24"/>
      <w:szCs w:val="22"/>
    </w:rPr>
  </w:style>
  <w:style w:type="paragraph" w:styleId="981" w:customStyle="1">
    <w:name w:val="Абзац 2"/>
    <w:basedOn w:val="770"/>
    <w:pPr>
      <w:jc w:val="both"/>
    </w:pPr>
    <w:rPr>
      <w:rFonts w:eastAsiaTheme="minorEastAsia" w:cstheme="minorBidi"/>
      <w:b/>
      <w:sz w:val="24"/>
      <w:szCs w:val="22"/>
    </w:rPr>
  </w:style>
  <w:style w:type="paragraph" w:styleId="982" w:customStyle="1">
    <w:name w:val="docdata"/>
    <w:basedOn w:val="770"/>
    <w:pPr>
      <w:spacing w:before="100" w:beforeAutospacing="1" w:after="100" w:afterAutospacing="1"/>
    </w:pPr>
    <w:rPr>
      <w:sz w:val="24"/>
      <w:szCs w:val="24"/>
    </w:rPr>
  </w:style>
  <w:style w:type="paragraph" w:styleId="983">
    <w:name w:val="Normal (Web)"/>
    <w:basedOn w:val="77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84">
    <w:name w:val="Body Text Indent 2"/>
    <w:basedOn w:val="770"/>
    <w:link w:val="985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85" w:customStyle="1">
    <w:name w:val="Основной текст с отступом 2 Знак"/>
    <w:basedOn w:val="780"/>
    <w:link w:val="984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C31D-4A8E-4167-A42B-50F4426E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golubeva.valentina</cp:lastModifiedBy>
  <cp:revision>9</cp:revision>
  <dcterms:created xsi:type="dcterms:W3CDTF">2025-05-21T12:55:00Z</dcterms:created>
  <dcterms:modified xsi:type="dcterms:W3CDTF">2026-05-14T14:22:42Z</dcterms:modified>
</cp:coreProperties>
</file>