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52" w:rsidRPr="00EE4C04" w:rsidRDefault="00CB6152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CB6152" w:rsidRPr="00EE4C04" w:rsidRDefault="00EE4C04">
      <w:pPr>
        <w:ind w:firstLine="540"/>
        <w:jc w:val="center"/>
        <w:outlineLvl w:val="0"/>
        <w:rPr>
          <w:b/>
          <w:bCs/>
          <w:sz w:val="22"/>
          <w:szCs w:val="22"/>
        </w:rPr>
      </w:pPr>
      <w:r w:rsidRPr="00EE4C04">
        <w:rPr>
          <w:rFonts w:eastAsia="Tempora LGC Uni"/>
          <w:b/>
          <w:bCs/>
          <w:sz w:val="22"/>
          <w:szCs w:val="22"/>
        </w:rPr>
        <w:t xml:space="preserve">Сообщение о существенном факте </w:t>
      </w:r>
    </w:p>
    <w:p w:rsidR="00CB6152" w:rsidRPr="00EE4C04" w:rsidRDefault="00EE4C04">
      <w:pPr>
        <w:jc w:val="center"/>
        <w:rPr>
          <w:b/>
          <w:bCs/>
          <w:sz w:val="22"/>
          <w:szCs w:val="22"/>
        </w:rPr>
      </w:pPr>
      <w:r w:rsidRPr="00EE4C04">
        <w:rPr>
          <w:rFonts w:eastAsia="Tempora LGC Uni"/>
          <w:b/>
          <w:bCs/>
          <w:sz w:val="22"/>
          <w:szCs w:val="22"/>
        </w:rPr>
        <w:t>«</w:t>
      </w:r>
      <w:r w:rsidRPr="00EE4C04">
        <w:rPr>
          <w:rFonts w:eastAsia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 w:rsidRPr="00EE4C04">
        <w:rPr>
          <w:rFonts w:eastAsia="Tempora LGC Uni"/>
          <w:b/>
          <w:bCs/>
          <w:sz w:val="22"/>
          <w:szCs w:val="22"/>
        </w:rPr>
        <w:t>»</w:t>
      </w:r>
    </w:p>
    <w:p w:rsidR="00CB6152" w:rsidRPr="00EE4C04" w:rsidRDefault="00CB6152">
      <w:pPr>
        <w:ind w:firstLine="540"/>
        <w:jc w:val="center"/>
        <w:outlineLvl w:val="0"/>
        <w:rPr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CB6152" w:rsidRPr="00EE4C04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 Общие сведения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55223A">
            <w:pPr>
              <w:ind w:right="57"/>
              <w:rPr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EE4C04" w:rsidRPr="00EE4C04">
                <w:rPr>
                  <w:rStyle w:val="aa"/>
                  <w:rFonts w:eastAsia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CB6152" w:rsidRPr="00EE4C04" w:rsidRDefault="0055223A">
            <w:pPr>
              <w:ind w:right="85"/>
              <w:rPr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EE4C04" w:rsidRPr="00EE4C04">
                <w:rPr>
                  <w:rStyle w:val="aa"/>
                  <w:rFonts w:eastAsia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24173B" w:rsidP="0024173B">
            <w:pPr>
              <w:ind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06</w:t>
            </w:r>
            <w:r w:rsidR="00EE4C04" w:rsidRPr="00EE4C04">
              <w:rPr>
                <w:rFonts w:eastAsia="Tempora LGC Uni"/>
                <w:b/>
                <w:bCs/>
                <w:sz w:val="22"/>
                <w:szCs w:val="22"/>
              </w:rPr>
              <w:t>.0</w:t>
            </w: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5</w:t>
            </w:r>
            <w:r w:rsidR="00EE4C04" w:rsidRPr="00EE4C04">
              <w:rPr>
                <w:rFonts w:eastAsia="Tempora LGC Uni"/>
                <w:b/>
                <w:bCs/>
                <w:sz w:val="22"/>
                <w:szCs w:val="22"/>
              </w:rPr>
              <w:t>.2026</w:t>
            </w:r>
          </w:p>
        </w:tc>
      </w:tr>
    </w:tbl>
    <w:p w:rsidR="00CB6152" w:rsidRPr="00EE4C04" w:rsidRDefault="00CB6152">
      <w:pPr>
        <w:rPr>
          <w:sz w:val="22"/>
          <w:szCs w:val="22"/>
        </w:rPr>
      </w:pP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 w:rsidR="00CB6152" w:rsidRPr="00EE4C04"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2. Содержание сообщения</w:t>
            </w:r>
          </w:p>
        </w:tc>
      </w:tr>
      <w:tr w:rsidR="00CB6152" w:rsidRPr="00EE4C04">
        <w:trPr>
          <w:trHeight w:val="1484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113" w:right="113"/>
              <w:jc w:val="both"/>
              <w:rPr>
                <w:bCs/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06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.0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5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.2026</w:t>
            </w:r>
            <w:r w:rsidRPr="00EE4C04">
              <w:rPr>
                <w:rFonts w:eastAsia="Tempora LGC Uni"/>
                <w:bCs/>
                <w:color w:val="000000"/>
                <w:sz w:val="22"/>
                <w:szCs w:val="22"/>
              </w:rPr>
              <w:t>.</w:t>
            </w:r>
          </w:p>
          <w:p w:rsidR="00CB6152" w:rsidRPr="00EE4C04" w:rsidRDefault="00EE4C04">
            <w:pPr>
              <w:ind w:left="113" w:right="113"/>
              <w:jc w:val="both"/>
              <w:rPr>
                <w:rFonts w:eastAsia="Tempora LGC Uni"/>
                <w:bCs/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1</w:t>
            </w:r>
            <w:r w:rsidR="001D08BC">
              <w:rPr>
                <w:rFonts w:eastAsia="Tempora LGC Uni"/>
                <w:color w:val="000000"/>
                <w:sz w:val="22"/>
                <w:szCs w:val="22"/>
              </w:rPr>
              <w:t>4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.0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5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.2026</w:t>
            </w:r>
            <w:r w:rsidRPr="00EE4C04">
              <w:rPr>
                <w:rFonts w:eastAsia="Tempora LGC Uni"/>
                <w:bCs/>
                <w:color w:val="000000"/>
                <w:sz w:val="22"/>
                <w:szCs w:val="22"/>
              </w:rPr>
              <w:t>.</w:t>
            </w:r>
          </w:p>
          <w:p w:rsidR="00CB6152" w:rsidRPr="00EE4C04" w:rsidRDefault="00EE4C04">
            <w:pPr>
              <w:ind w:left="113" w:right="113"/>
              <w:jc w:val="both"/>
              <w:rPr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CB6152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</w:t>
            </w: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б определении закупочной политики в Обществе.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внесении изменений в Реестр непрофильных активов ПАО «ОГК-2» и его дочерних обществ.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рассмотрении отчета об исполнении кредитной политики и отчета о размещении временно свободных денежных средств ПАО «ОГК-2» за 4 квартал 2025 года.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  рассмотрении Отчета о функционировании Системы управления рисками и внутреннего контроля ПАО «ОГК-2» за 2025 год.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Об утверждении порогового и пред</w:t>
            </w:r>
            <w:r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 xml:space="preserve">ельно допустимого уровня риска </w:t>
            </w: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ПАО «ОГК-2» на 2026 год.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согласовании сделок, связанных с приобретением, отчуждением или обременением Обществом или его дочерними обществами активов в форме акций (ценных бумаг, конвертируемых в акции, и (или) производных от акций ценных бумаг), долей и паев других организаций (объектов вложений).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согласии на совершение Обществом сделок (до их совершения), включая несколько взаимосвязанных сделок, предметом которых является отчуждение (или возможность отчуждения) финансовых вложений Общества, не включенных в Реестр непрофильных активов.</w:t>
            </w:r>
          </w:p>
          <w:p w:rsidR="0055223A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Об утверждении Положения об оплате труда генерального директора и высших менеджеров ПАО «ОГК-2».</w:t>
            </w:r>
          </w:p>
          <w:p w:rsidR="0055223A" w:rsidRPr="00B054CB" w:rsidRDefault="0055223A" w:rsidP="00B054CB">
            <w:pPr>
              <w:pStyle w:val="af3"/>
              <w:numPr>
                <w:ilvl w:val="0"/>
                <w:numId w:val="3"/>
              </w:numPr>
              <w:tabs>
                <w:tab w:val="left" w:pos="392"/>
              </w:tabs>
              <w:ind w:left="108" w:right="113" w:firstLine="5"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55223A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согласовании назначения на должность директора филиала ПАО «ОГК-2» – Киришская ГРЭС.</w:t>
            </w:r>
            <w:bookmarkStart w:id="0" w:name="_GoBack"/>
            <w:bookmarkEnd w:id="0"/>
          </w:p>
        </w:tc>
      </w:tr>
    </w:tbl>
    <w:p w:rsidR="00CB6152" w:rsidRPr="00EE4C04" w:rsidRDefault="00CB6152">
      <w:pPr>
        <w:ind w:left="57"/>
        <w:rPr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CB6152" w:rsidRPr="00EE4C04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3. Подпись</w:t>
            </w:r>
          </w:p>
        </w:tc>
      </w:tr>
      <w:tr w:rsidR="00CB6152" w:rsidRPr="00EE4C04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CB6152" w:rsidRPr="00EE4C04" w:rsidRDefault="00EE4C04">
            <w:pPr>
              <w:pStyle w:val="af4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E4C04">
              <w:rPr>
                <w:rFonts w:eastAsia="Tempora LGC Uni" w:cs="Times New Roman"/>
                <w:b/>
                <w:sz w:val="22"/>
                <w:szCs w:val="22"/>
              </w:rPr>
              <w:t xml:space="preserve">3.1. </w:t>
            </w:r>
            <w:r w:rsidRPr="00EE4C04"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</w:t>
            </w:r>
          </w:p>
          <w:p w:rsidR="00CB6152" w:rsidRPr="00EE4C04" w:rsidRDefault="00EE4C04">
            <w:pPr>
              <w:pStyle w:val="af4"/>
              <w:rPr>
                <w:rFonts w:cs="Times New Roman"/>
                <w:sz w:val="22"/>
                <w:szCs w:val="22"/>
              </w:rPr>
            </w:pPr>
            <w:r w:rsidRPr="00EE4C04"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>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6152" w:rsidRPr="00EE4C04" w:rsidRDefault="00CB61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CB6152" w:rsidRPr="00EE4C04" w:rsidRDefault="00EE4C04">
            <w:pPr>
              <w:jc w:val="right"/>
              <w:rPr>
                <w:sz w:val="22"/>
                <w:szCs w:val="22"/>
              </w:rPr>
            </w:pPr>
            <w:r w:rsidRPr="00EE4C04">
              <w:rPr>
                <w:rFonts w:eastAsia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CB6152" w:rsidRPr="00EE4C04" w:rsidRDefault="00CB6152">
            <w:pPr>
              <w:rPr>
                <w:b/>
                <w:sz w:val="22"/>
                <w:szCs w:val="22"/>
              </w:rPr>
            </w:pPr>
          </w:p>
        </w:tc>
      </w:tr>
      <w:tr w:rsidR="00CB6152" w:rsidRPr="00EE4C04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CB6152" w:rsidRPr="00EE4C04" w:rsidRDefault="00CB6152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  <w:tr w:rsidR="00CB6152" w:rsidRPr="00EE4C04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24173B">
            <w:pPr>
              <w:jc w:val="center"/>
              <w:rPr>
                <w:sz w:val="22"/>
                <w:szCs w:val="22"/>
              </w:rPr>
            </w:pPr>
            <w:r w:rsidRPr="00EE4C04">
              <w:rPr>
                <w:sz w:val="22"/>
                <w:szCs w:val="22"/>
              </w:rPr>
              <w:t>07</w:t>
            </w:r>
          </w:p>
        </w:tc>
        <w:tc>
          <w:tcPr>
            <w:tcW w:w="384" w:type="dxa"/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EE4C04" w:rsidP="0024173B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 xml:space="preserve"> </w:t>
            </w:r>
            <w:r w:rsidR="0024173B" w:rsidRPr="00EE4C04">
              <w:rPr>
                <w:rFonts w:eastAsia="Tempora LGC Uni"/>
                <w:sz w:val="22"/>
                <w:szCs w:val="22"/>
              </w:rPr>
              <w:t>мая</w:t>
            </w:r>
          </w:p>
        </w:tc>
        <w:tc>
          <w:tcPr>
            <w:tcW w:w="416" w:type="dxa"/>
            <w:vAlign w:val="bottom"/>
          </w:tcPr>
          <w:p w:rsidR="00CB6152" w:rsidRPr="00EE4C04" w:rsidRDefault="00EE4C04">
            <w:pPr>
              <w:jc w:val="right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CB6152" w:rsidRPr="00EE4C04" w:rsidRDefault="00CB6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  <w:tr w:rsidR="00CB6152" w:rsidRPr="00EE4C04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CB6152" w:rsidRPr="00EE4C04" w:rsidRDefault="00CB6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</w:tbl>
    <w:p w:rsidR="00CB6152" w:rsidRPr="00EE4C04" w:rsidRDefault="00CB6152">
      <w:pPr>
        <w:rPr>
          <w:sz w:val="22"/>
          <w:szCs w:val="22"/>
        </w:rPr>
      </w:pPr>
    </w:p>
    <w:sectPr w:rsidR="00CB6152" w:rsidRPr="00EE4C04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52" w:rsidRDefault="00EE4C04">
      <w:r>
        <w:separator/>
      </w:r>
    </w:p>
  </w:endnote>
  <w:endnote w:type="continuationSeparator" w:id="0">
    <w:p w:rsidR="00CB6152" w:rsidRDefault="00E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52" w:rsidRDefault="00EE4C04">
      <w:r>
        <w:separator/>
      </w:r>
    </w:p>
  </w:footnote>
  <w:footnote w:type="continuationSeparator" w:id="0">
    <w:p w:rsidR="00CB6152" w:rsidRDefault="00EE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5C16"/>
    <w:multiLevelType w:val="multilevel"/>
    <w:tmpl w:val="8A5435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850F02"/>
    <w:multiLevelType w:val="hybridMultilevel"/>
    <w:tmpl w:val="656C4198"/>
    <w:lvl w:ilvl="0" w:tplc="D85CBED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8AF3141"/>
    <w:multiLevelType w:val="hybridMultilevel"/>
    <w:tmpl w:val="88CA31C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52"/>
    <w:rsid w:val="001D08BC"/>
    <w:rsid w:val="0024173B"/>
    <w:rsid w:val="0055223A"/>
    <w:rsid w:val="00B054CB"/>
    <w:rsid w:val="00CB6152"/>
    <w:rsid w:val="00E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5887C-AEED-4482-A8C7-A2F37E5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f"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header"/>
    <w:basedOn w:val="a"/>
    <w:pPr>
      <w:tabs>
        <w:tab w:val="center" w:pos="4153"/>
        <w:tab w:val="right" w:pos="8306"/>
      </w:tabs>
    </w:p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0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</w:style>
  <w:style w:type="table" w:styleId="a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3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Осин Виктор Николаевич</cp:lastModifiedBy>
  <cp:revision>19</cp:revision>
  <dcterms:created xsi:type="dcterms:W3CDTF">2025-08-13T06:44:00Z</dcterms:created>
  <dcterms:modified xsi:type="dcterms:W3CDTF">2026-05-07T06:37:00Z</dcterms:modified>
  <dc:language>ru-RU</dc:language>
</cp:coreProperties>
</file>