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rPr>
          <w:b/>
          <w:bCs/>
          <w:sz w:val="22"/>
          <w:szCs w:val="22"/>
        </w:rPr>
        <w:outlineLvl w:val="0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540"/>
        <w:jc w:val="center"/>
        <w:rPr>
          <w:rFonts w:ascii="Tempora LGC Uni" w:hAnsi="Tempora LGC Uni" w:cs="Tempora LGC Uni"/>
          <w:b/>
          <w:bCs/>
          <w:sz w:val="22"/>
          <w:szCs w:val="22"/>
        </w:rPr>
        <w:outlineLvl w:val="0"/>
      </w:pPr>
      <w:r>
        <w:rPr>
          <w:rFonts w:ascii="Tempora LGC Uni" w:hAnsi="Tempora LGC Uni" w:eastAsia="Tempora LGC Uni" w:cs="Tempora LGC Uni"/>
          <w:b/>
          <w:bCs/>
          <w:sz w:val="22"/>
          <w:szCs w:val="22"/>
        </w:rPr>
        <w:t xml:space="preserve">Сообщение о существенном факте </w:t>
      </w:r>
      <w:r>
        <w:rPr>
          <w:rFonts w:ascii="Tempora LGC Uni" w:hAnsi="Tempora LGC Uni" w:cs="Tempora LGC Uni"/>
          <w:b/>
          <w:bCs/>
          <w:sz w:val="22"/>
          <w:szCs w:val="22"/>
        </w:rPr>
      </w:r>
    </w:p>
    <w:p>
      <w:pPr>
        <w:jc w:val="center"/>
        <w:rPr>
          <w:rFonts w:ascii="Tempora LGC Uni" w:hAnsi="Tempora LGC Uni" w:cs="Tempora LGC Uni"/>
          <w:b/>
          <w:bCs/>
          <w:sz w:val="22"/>
          <w:szCs w:val="22"/>
        </w:rPr>
      </w:pPr>
      <w:r>
        <w:rPr>
          <w:rFonts w:ascii="Tempora LGC Uni" w:hAnsi="Tempora LGC Uni" w:eastAsia="Tempora LGC Uni" w:cs="Tempora LGC Uni"/>
          <w:b/>
          <w:bCs/>
          <w:sz w:val="22"/>
          <w:szCs w:val="22"/>
        </w:rPr>
        <w:t xml:space="preserve">«</w:t>
      </w:r>
      <w:r>
        <w:rPr>
          <w:rFonts w:ascii="Tempora LGC Uni" w:hAnsi="Tempora LGC Uni" w:eastAsia="Tempora LGC Uni" w:cs="Tempora LGC Uni"/>
          <w:b/>
          <w:sz w:val="22"/>
          <w:szCs w:val="22"/>
        </w:rPr>
        <w:t xml:space="preserve">О проведении заседания совета директоров эмитента и его повестке дня</w:t>
      </w:r>
      <w:r>
        <w:rPr>
          <w:rFonts w:ascii="Tempora LGC Uni" w:hAnsi="Tempora LGC Uni" w:eastAsia="Tempora LGC Uni" w:cs="Tempora LGC Uni"/>
          <w:b/>
          <w:bCs/>
          <w:sz w:val="22"/>
          <w:szCs w:val="22"/>
        </w:rPr>
        <w:t xml:space="preserve">»</w:t>
      </w:r>
      <w:r>
        <w:rPr>
          <w:rFonts w:ascii="Tempora LGC Uni" w:hAnsi="Tempora LGC Uni" w:cs="Tempora LGC Uni"/>
          <w:b/>
          <w:bCs/>
          <w:sz w:val="22"/>
          <w:szCs w:val="22"/>
        </w:rPr>
      </w:r>
    </w:p>
    <w:p>
      <w:pPr>
        <w:ind w:firstLine="540"/>
        <w:jc w:val="center"/>
        <w:rPr>
          <w:rFonts w:ascii="Tempora LGC Uni" w:hAnsi="Tempora LGC Uni" w:cs="Tempora LGC Uni"/>
          <w:b/>
          <w:bCs/>
          <w:sz w:val="22"/>
          <w:szCs w:val="22"/>
        </w:rPr>
        <w:outlineLvl w:val="0"/>
      </w:pPr>
      <w:r>
        <w:rPr>
          <w:rFonts w:ascii="Tempora LGC Uni" w:hAnsi="Tempora LGC Uni" w:eastAsia="Tempora LGC Uni" w:cs="Tempora LGC Uni"/>
          <w:b/>
          <w:bCs/>
          <w:sz w:val="22"/>
          <w:szCs w:val="22"/>
        </w:rPr>
      </w:r>
      <w:r>
        <w:rPr>
          <w:rFonts w:ascii="Tempora LGC Uni" w:hAnsi="Tempora LGC Uni" w:cs="Tempora LGC Uni"/>
          <w:b/>
          <w:bCs/>
          <w:sz w:val="22"/>
          <w:szCs w:val="22"/>
        </w:rPr>
      </w: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5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 Общие сведения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1.2. Адрес эмитента, указанный в едином государственном реестре юридических лиц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196605, г. Санкт-Петербург, вн.тер.г. поселок Шушары, ш Петербургское, д. 66, к. 1, литера А, этаж 7, помещ. 36-Н, каб. 701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1.3. Основной государственный регистрационный номер (ОГРН) эмитента (при наличии)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1052600002180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1.4. Идентификационный номер налогоплательщика (ИНН) эмитента (при наличии)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2607018122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1.5. Уникальный код эмитента, присвоенный Банком России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left="40"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65105-D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1.6. Адрес страницы в сети Интернет, используемой эмитентом для раскрытия информации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right="57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hyperlink r:id="rId9" w:tooltip="https://www.ogk2.ru/" w:history="1">
              <w:r>
                <w:rPr>
                  <w:rStyle w:val="713"/>
                  <w:rFonts w:ascii="Tempora LGC Uni" w:hAnsi="Tempora LGC Uni" w:eastAsia="Tempora LGC Uni" w:cs="Tempora LGC Uni"/>
                  <w:b/>
                  <w:bCs/>
                  <w:color w:val="auto"/>
                  <w:sz w:val="22"/>
                  <w:szCs w:val="22"/>
                </w:rPr>
                <w:t xml:space="preserve">https://www.ogk2.ru</w:t>
              </w:r>
            </w:hyperlink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  <w:p>
            <w:pPr>
              <w:ind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hyperlink r:id="rId10" w:tooltip="https://www.e-disclosure.ru/portal/company.aspx?id=7234" w:history="1">
              <w:r>
                <w:rPr>
                  <w:rStyle w:val="713"/>
                  <w:rFonts w:ascii="Tempora LGC Uni" w:hAnsi="Tempora LGC Uni" w:eastAsia="Tempora LGC Uni" w:cs="Tempora LGC Uni"/>
                  <w:b/>
                  <w:bCs/>
                  <w:color w:val="auto"/>
                  <w:sz w:val="22"/>
                  <w:szCs w:val="22"/>
                </w:rPr>
                <w:t xml:space="preserve">https://www.e-disclosure.ru/portal/company.aspx?id=7234</w:t>
              </w:r>
            </w:hyperlink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8" w:type="dxa"/>
            <w:textDirection w:val="lrTb"/>
            <w:noWrap w:val="false"/>
          </w:tcPr>
          <w:p>
            <w:pPr>
              <w:jc w:val="both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1.7. Дата наступления события (существенного факта), о котором составлено сообщение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ind w:right="85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30.07.2025</w:t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</w:tc>
      </w:tr>
    </w:tbl>
    <w:p>
      <w:pPr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hAnsi="Tempora LGC Uni" w:eastAsia="Tempora LGC Uni" w:cs="Tempora LGC Uni"/>
          <w:sz w:val="22"/>
          <w:szCs w:val="22"/>
        </w:rPr>
      </w:r>
      <w:r>
        <w:rPr>
          <w:rFonts w:ascii="Tempora LGC Uni" w:hAnsi="Tempora LGC Uni" w:cs="Tempora LGC Uni"/>
          <w:sz w:val="22"/>
          <w:szCs w:val="22"/>
        </w:rPr>
      </w: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6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2. Содержание сообщения</w:t>
            </w:r>
            <w:r>
              <w:rPr>
                <w:rFonts w:ascii="Tempora LGC Uni" w:hAnsi="Tempora LGC Uni" w:cs="Tempora LGC Uni"/>
                <w:sz w:val="22"/>
                <w:szCs w:val="22"/>
              </w:rPr>
            </w:r>
          </w:p>
        </w:tc>
      </w:tr>
      <w:tr>
        <w:tblPrEx/>
        <w:trPr>
          <w:trHeight w:val="14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6" w:type="dxa"/>
            <w:textDirection w:val="lrTb"/>
            <w:noWrap w:val="false"/>
          </w:tcPr>
          <w:p>
            <w:pPr>
              <w:ind w:left="-28" w:right="57"/>
              <w:jc w:val="both"/>
              <w:rPr>
                <w:rFonts w:ascii="Tempora LGC Uni" w:hAnsi="Tempora LGC Uni" w:cs="Tempora LGC Un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/>
                <w:sz w:val="22"/>
                <w:szCs w:val="22"/>
              </w:rPr>
              <w:t xml:space="preserve">30.07.2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/>
                <w:sz w:val="22"/>
                <w:szCs w:val="22"/>
              </w:rPr>
              <w:t xml:space="preserve">025.</w:t>
            </w:r>
            <w:r>
              <w:rPr>
                <w:rFonts w:ascii="Tempora LGC Uni" w:hAnsi="Tempora LGC Uni" w:cs="Tempora LGC Uni"/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left="-28" w:right="57"/>
              <w:jc w:val="both"/>
              <w:rPr>
                <w:rFonts w:ascii="Tempora LGC Uni" w:hAnsi="Tempora LGC Uni" w:cs="Tempora LGC Uni"/>
                <w:b/>
                <w:color w:val="000000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color w:val="000000"/>
                <w:sz w:val="22"/>
                <w:szCs w:val="22"/>
              </w:rPr>
              <w:t xml:space="preserve">2.2. Дата проведения заседания совета директоров эмитента:</w:t>
            </w:r>
            <w:r>
              <w:rPr>
                <w:rFonts w:ascii="Tempora LGC Uni" w:hAnsi="Tempora LGC Uni" w:eastAsia="Tempora LGC Uni" w:cs="Tempora LGC Un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/>
                <w:sz w:val="22"/>
                <w:szCs w:val="22"/>
              </w:rPr>
              <w:t xml:space="preserve">07.08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/>
                <w:sz w:val="22"/>
                <w:szCs w:val="22"/>
              </w:rPr>
              <w:t xml:space="preserve">.20</w:t>
            </w: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  <w:t xml:space="preserve">25</w:t>
            </w: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empora LGC Uni" w:hAnsi="Tempora LGC Uni" w:cs="Tempora LGC Uni"/>
                <w:b/>
                <w:color w:val="000000"/>
                <w:sz w:val="22"/>
                <w:szCs w:val="22"/>
              </w:rPr>
            </w:r>
          </w:p>
          <w:p>
            <w:pPr>
              <w:ind w:left="-28" w:right="57"/>
              <w:jc w:val="both"/>
              <w:rPr>
                <w:rFonts w:ascii="Tempora LGC Uni" w:hAnsi="Tempora LGC Uni" w:cs="Tempora LGC Uni"/>
                <w:color w:val="000000"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color w:val="000000"/>
                <w:sz w:val="22"/>
                <w:szCs w:val="22"/>
              </w:rPr>
              <w:t xml:space="preserve">2.3.  Повестка дня заседания совета директоров эмитента:</w:t>
            </w:r>
            <w:r>
              <w:rPr>
                <w:rFonts w:ascii="Tempora LGC Uni" w:hAnsi="Tempora LGC Uni" w:cs="Tempora LGC Uni"/>
                <w:color w:val="000000"/>
                <w:sz w:val="22"/>
                <w:szCs w:val="22"/>
              </w:rPr>
            </w:r>
          </w:p>
          <w:p>
            <w:pPr>
              <w:pStyle w:val="885"/>
              <w:spacing w:before="20" w:after="20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  <w:t xml:space="preserve">1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Об определении закупочной политики в Обществе.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  <w:r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r>
          </w:p>
          <w:p>
            <w:pPr>
              <w:pStyle w:val="885"/>
              <w:spacing w:before="20" w:after="20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О формировании комитетов Совета директоров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Общества.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</w:p>
          <w:p>
            <w:pPr>
              <w:pStyle w:val="885"/>
              <w:spacing w:before="20" w:after="20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Об утверждении отчета о выполнении целевого значения ключевого показателя деятельности «Погашение просроченной задолженности денежными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средствами» ПАО 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ОГК-2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»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 за 2024 год.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</w:p>
          <w:p>
            <w:pPr>
              <w:pStyle w:val="885"/>
              <w:spacing w:before="20" w:after="20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4. О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б утверждении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отчета об устойчивом развитии Общества за 2024 год.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</w:r>
          </w:p>
          <w:p>
            <w:pPr>
              <w:pStyle w:val="885"/>
              <w:spacing w:before="20" w:after="20"/>
              <w:rPr>
                <w:rFonts w:ascii="Tempora LGC Uni" w:hAnsi="Tempora LGC Uni" w:cs="Tempora LGC Uni"/>
                <w:b/>
                <w:bCs/>
                <w:sz w:val="22"/>
                <w:szCs w:val="22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</w:tr>
    </w:tbl>
    <w:p>
      <w:pPr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hAnsi="Tempora LGC Uni" w:eastAsia="Tempora LGC Uni" w:cs="Tempora LGC Uni"/>
          <w:sz w:val="22"/>
          <w:szCs w:val="22"/>
        </w:rPr>
      </w:r>
      <w:r>
        <w:rPr>
          <w:rFonts w:ascii="Tempora LGC Uni" w:hAnsi="Tempora LGC Uni" w:cs="Tempora LGC Uni"/>
          <w:sz w:val="22"/>
          <w:szCs w:val="22"/>
        </w:rPr>
      </w: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>
        <w:tblPrEx/>
        <w:trPr>
          <w:cantSplit/>
          <w:trHeight w:val="248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3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3. Подпись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</w:tr>
      <w:tr>
        <w:tblPrEx/>
        <w:trPr>
          <w:cantSplit/>
          <w:trHeight w:val="85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pStyle w:val="727"/>
              <w:rPr>
                <w:rFonts w:ascii="Tempora LGC Uni" w:hAnsi="Tempora LGC Uni" w:cs="Tempora LGC Uni"/>
                <w:b/>
                <w:color w:val="000000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  <w:t xml:space="preserve">3.1. </w:t>
            </w: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</w:t>
            </w: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</w:r>
          </w:p>
          <w:p>
            <w:pPr>
              <w:pStyle w:val="727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b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empora LGC Uni" w:hAnsi="Tempora LGC Uni" w:eastAsia="Tempora LGC Uni" w:cs="Tempora LGC Uni"/>
                <w:b/>
                <w:bCs/>
                <w:sz w:val="22"/>
                <w:szCs w:val="22"/>
              </w:rPr>
              <w:t xml:space="preserve">07.06.2022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empora LGC Uni" w:hAnsi="Tempora LGC Uni" w:cs="Tempora LGC Uni"/>
                <w:b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307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  <w:t xml:space="preserve">Е.Н. Егорова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50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b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</w:p>
        </w:tc>
      </w:tr>
      <w:tr>
        <w:tblPrEx/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b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b/>
                <w:sz w:val="22"/>
                <w:szCs w:val="22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(подпись)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150" w:type="dxa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3.2. Дата    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“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5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  <w:lang w:val="en-US"/>
              </w:rPr>
              <w:t xml:space="preserve">30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  <w:lang w:val="en-US"/>
              </w:rPr>
            </w:r>
          </w:p>
        </w:tc>
        <w:tc>
          <w:tcPr>
            <w:tcW w:w="384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”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317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июл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я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W w:w="41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20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07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2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  <w:t xml:space="preserve">5</w:t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W w:w="1209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W w:w="13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7"/>
            <w:tcBorders>
              <w:left w:val="single" w:color="000000" w:sz="4" w:space="0"/>
              <w:bottom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rPr>
                <w:rFonts w:ascii="Tempora LGC Uni" w:hAnsi="Tempora LGC Uni" w:cs="Tempora LGC Uni"/>
                <w:sz w:val="21"/>
                <w:szCs w:val="21"/>
              </w:rPr>
            </w:pP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  <w:r>
              <w:rPr>
                <w:rFonts w:ascii="Tempora LGC Uni" w:hAnsi="Tempora LGC Uni" w:eastAsia="Tempora LGC Uni" w:cs="Tempora LGC Uni"/>
                <w:sz w:val="22"/>
                <w:szCs w:val="22"/>
              </w:rPr>
            </w:r>
          </w:p>
        </w:tc>
      </w:tr>
    </w:tbl>
    <w:p>
      <w:pPr>
        <w:rPr>
          <w:rFonts w:ascii="Tempora LGC Uni" w:hAnsi="Tempora LGC Uni" w:cs="Tempora LGC Uni"/>
          <w:sz w:val="21"/>
          <w:szCs w:val="21"/>
        </w:rPr>
      </w:pPr>
      <w:r>
        <w:rPr>
          <w:rFonts w:ascii="Tempora LGC Uni" w:hAnsi="Tempora LGC Uni" w:eastAsia="Tempora LGC Uni" w:cs="Tempora LGC Uni"/>
          <w:sz w:val="22"/>
          <w:szCs w:val="22"/>
        </w:rPr>
      </w:r>
      <w:r>
        <w:rPr>
          <w:rFonts w:ascii="Tempora LGC Uni" w:hAnsi="Tempora LGC Uni" w:eastAsia="Tempora LGC Uni" w:cs="Tempora LGC Uni"/>
          <w:sz w:val="22"/>
          <w:szCs w:val="22"/>
        </w:rPr>
      </w:r>
      <w:r>
        <w:rPr>
          <w:rFonts w:ascii="Tempora LGC Uni" w:hAnsi="Tempora LGC Uni" w:eastAsia="Tempora LGC Uni" w:cs="Tempora LGC Uni"/>
          <w:sz w:val="22"/>
          <w:szCs w:val="22"/>
        </w:rPr>
      </w:r>
    </w:p>
    <w:p>
      <w:pPr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hAnsi="Tempora LGC Uni" w:eastAsia="Tempora LGC Uni" w:cs="Tempora LGC Uni"/>
          <w:sz w:val="22"/>
          <w:szCs w:val="22"/>
        </w:rPr>
      </w:r>
      <w:r>
        <w:rPr>
          <w:rFonts w:ascii="Tempora LGC Uni" w:hAnsi="Tempora LGC Uni" w:cs="Tempora LGC Uni"/>
          <w:sz w:val="22"/>
          <w:szCs w:val="22"/>
        </w:rPr>
      </w:r>
    </w:p>
    <w:p>
      <w:pPr>
        <w:rPr>
          <w:rFonts w:ascii="Tempora LGC Uni" w:hAnsi="Tempora LGC Uni" w:cs="Tempora LGC Uni"/>
          <w:sz w:val="22"/>
          <w:szCs w:val="22"/>
        </w:rPr>
      </w:pPr>
      <w:r>
        <w:rPr>
          <w:rFonts w:ascii="Tempora LGC Uni" w:hAnsi="Tempora LGC Uni" w:eastAsia="Tempora LGC Uni" w:cs="Tempora LGC Uni"/>
          <w:sz w:val="22"/>
          <w:szCs w:val="22"/>
        </w:rPr>
      </w:r>
      <w:r>
        <w:rPr>
          <w:rFonts w:ascii="Tempora LGC Uni" w:hAnsi="Tempora LGC Uni" w:cs="Tempora LGC Uni"/>
          <w:sz w:val="22"/>
          <w:szCs w:val="22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  <w:r>
        <w:rPr>
          <w:sz w:val="21"/>
          <w:szCs w:val="21"/>
          <w:lang w:val="en-US"/>
        </w:rPr>
      </w:r>
    </w:p>
    <w:sectPr>
      <w:footnotePr/>
      <w:endnotePr/>
      <w:type w:val="nextPage"/>
      <w:pgSz w:w="11906" w:h="16838" w:orient="portrait"/>
      <w:pgMar w:top="851" w:right="851" w:bottom="851" w:left="1701" w:header="284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6030504020204"/>
  </w:font>
  <w:font w:name="Open Sans">
    <w:panose1 w:val="020B0606030504020204"/>
  </w:font>
  <w:font w:name="Calibri">
    <w:panose1 w:val="020F0502020204030204"/>
  </w:font>
  <w:font w:name="Arial">
    <w:panose1 w:val="020B0604020202020204"/>
  </w:font>
  <w:font w:name="WenQuanYi Micro Hei">
    <w:panose1 w:val="020B0606030804020204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WenQuanYi Micro Hei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  <w:rPr>
      <w:rFonts w:eastAsia="Times New Roman" w:cs="Times New Roman"/>
      <w:lang w:bidi="ar-SA"/>
    </w:rPr>
  </w:style>
  <w:style w:type="paragraph" w:styleId="656">
    <w:name w:val="Heading 1"/>
    <w:basedOn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7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uiPriority w:val="10"/>
    <w:qFormat/>
    <w:rPr>
      <w:sz w:val="48"/>
      <w:szCs w:val="48"/>
    </w:rPr>
  </w:style>
  <w:style w:type="character" w:styleId="678" w:customStyle="1">
    <w:name w:val="Subtitle Char"/>
    <w:uiPriority w:val="11"/>
    <w:qFormat/>
    <w:rPr>
      <w:sz w:val="24"/>
      <w:szCs w:val="24"/>
    </w:rPr>
  </w:style>
  <w:style w:type="character" w:styleId="679" w:customStyle="1">
    <w:name w:val="Quote Char"/>
    <w:uiPriority w:val="29"/>
    <w:qFormat/>
    <w:rPr>
      <w:i/>
    </w:rPr>
  </w:style>
  <w:style w:type="character" w:styleId="680" w:customStyle="1">
    <w:name w:val="Intense Quote Char"/>
    <w:uiPriority w:val="30"/>
    <w:qFormat/>
    <w:rPr>
      <w:i/>
    </w:rPr>
  </w:style>
  <w:style w:type="character" w:styleId="681" w:customStyle="1">
    <w:name w:val="Header Char"/>
    <w:uiPriority w:val="99"/>
    <w:qFormat/>
  </w:style>
  <w:style w:type="character" w:styleId="682" w:customStyle="1">
    <w:name w:val="Footer Char"/>
    <w:uiPriority w:val="99"/>
    <w:qFormat/>
  </w:style>
  <w:style w:type="character" w:styleId="683" w:customStyle="1">
    <w:name w:val="Caption Char"/>
    <w:uiPriority w:val="99"/>
    <w:qFormat/>
  </w:style>
  <w:style w:type="character" w:styleId="684" w:customStyle="1">
    <w:name w:val="Footnote Text Char"/>
    <w:uiPriority w:val="99"/>
    <w:qFormat/>
    <w:rPr>
      <w:sz w:val="18"/>
    </w:rPr>
  </w:style>
  <w:style w:type="character" w:styleId="685" w:customStyle="1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 w:customStyle="1">
    <w:name w:val="Endnote Text Char"/>
    <w:uiPriority w:val="99"/>
    <w:qFormat/>
    <w:rPr>
      <w:sz w:val="20"/>
    </w:rPr>
  </w:style>
  <w:style w:type="character" w:styleId="688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customStyle="1">
    <w:name w:val="WW8Num3z0"/>
    <w:qFormat/>
  </w:style>
  <w:style w:type="character" w:styleId="691" w:customStyle="1">
    <w:name w:val="WW8Num6z0"/>
    <w:qFormat/>
    <w:rPr>
      <w:rFonts w:ascii="Times New Roman" w:hAnsi="Times New Roman" w:eastAsia="Times New Roman" w:cs="Times New Roman"/>
    </w:rPr>
  </w:style>
  <w:style w:type="character" w:styleId="692" w:customStyle="1">
    <w:name w:val="WW8Num6z1"/>
    <w:qFormat/>
  </w:style>
  <w:style w:type="character" w:styleId="693" w:customStyle="1">
    <w:name w:val="WW8Num7z1"/>
    <w:qFormat/>
  </w:style>
  <w:style w:type="character" w:styleId="694" w:customStyle="1">
    <w:name w:val="WW8Num8z0"/>
    <w:qFormat/>
  </w:style>
  <w:style w:type="character" w:styleId="695" w:customStyle="1">
    <w:name w:val="WW8Num11z0"/>
    <w:qFormat/>
  </w:style>
  <w:style w:type="character" w:styleId="696" w:customStyle="1">
    <w:name w:val="WW8Num13z0"/>
    <w:qFormat/>
  </w:style>
  <w:style w:type="character" w:styleId="697" w:customStyle="1">
    <w:name w:val="WW8Num14z0"/>
    <w:qFormat/>
  </w:style>
  <w:style w:type="character" w:styleId="698" w:customStyle="1">
    <w:name w:val="WW8Num15z0"/>
    <w:qFormat/>
  </w:style>
  <w:style w:type="character" w:styleId="699" w:customStyle="1">
    <w:name w:val="WW8Num16z0"/>
    <w:qFormat/>
  </w:style>
  <w:style w:type="character" w:styleId="700" w:customStyle="1">
    <w:name w:val="WW8Num17z0"/>
    <w:qFormat/>
  </w:style>
  <w:style w:type="character" w:styleId="701" w:customStyle="1">
    <w:name w:val="WW8Num17z2"/>
    <w:qFormat/>
  </w:style>
  <w:style w:type="character" w:styleId="702" w:customStyle="1">
    <w:name w:val="WW8Num18z0"/>
    <w:qFormat/>
    <w:rPr>
      <w:color w:val="000000"/>
    </w:rPr>
  </w:style>
  <w:style w:type="character" w:styleId="703" w:customStyle="1">
    <w:name w:val="WW8Num20z0"/>
    <w:qFormat/>
  </w:style>
  <w:style w:type="character" w:styleId="704" w:customStyle="1">
    <w:name w:val="WW8Num23z0"/>
    <w:qFormat/>
  </w:style>
  <w:style w:type="character" w:styleId="705" w:customStyle="1">
    <w:name w:val="WW8Num23z1"/>
    <w:qFormat/>
    <w:rPr>
      <w:sz w:val="26"/>
      <w:szCs w:val="26"/>
    </w:rPr>
  </w:style>
  <w:style w:type="character" w:styleId="706" w:customStyle="1">
    <w:name w:val="WW8Num23z2"/>
    <w:qFormat/>
  </w:style>
  <w:style w:type="character" w:styleId="707" w:customStyle="1">
    <w:name w:val="WW8Num24z0"/>
    <w:qFormat/>
  </w:style>
  <w:style w:type="character" w:styleId="708" w:customStyle="1">
    <w:name w:val="WW8Num25z0"/>
    <w:qFormat/>
  </w:style>
  <w:style w:type="character" w:styleId="709" w:customStyle="1">
    <w:name w:val="WW8Num25z1"/>
    <w:qFormat/>
  </w:style>
  <w:style w:type="character" w:styleId="710" w:customStyle="1">
    <w:name w:val="WW8Num26z0"/>
    <w:qFormat/>
  </w:style>
  <w:style w:type="character" w:styleId="711" w:customStyle="1">
    <w:name w:val="WW8Num27z0"/>
    <w:qFormat/>
    <w:rPr>
      <w:color w:val="000000"/>
    </w:rPr>
  </w:style>
  <w:style w:type="character" w:styleId="712">
    <w:name w:val="page number"/>
    <w:basedOn w:val="665"/>
  </w:style>
  <w:style w:type="character" w:styleId="713">
    <w:name w:val="Hyperlink"/>
    <w:rPr>
      <w:color w:val="0000ff"/>
      <w:u w:val="single"/>
    </w:rPr>
  </w:style>
  <w:style w:type="character" w:styleId="714" w:customStyle="1">
    <w:name w:val="Основной текст с отступом 2 Знак"/>
    <w:qFormat/>
    <w:rPr>
      <w:sz w:val="28"/>
      <w:szCs w:val="24"/>
    </w:rPr>
  </w:style>
  <w:style w:type="character" w:styleId="715" w:customStyle="1">
    <w:name w:val="Стандартный HTML Знак"/>
    <w:qFormat/>
    <w:rPr>
      <w:rFonts w:ascii="Courier New" w:hAnsi="Courier New" w:cs="Courier New"/>
    </w:rPr>
  </w:style>
  <w:style w:type="character" w:styleId="716" w:customStyle="1">
    <w:name w:val="Обычный (веб) Знак"/>
    <w:qFormat/>
    <w:rPr>
      <w:rFonts w:eastAsia="Calibri"/>
      <w:sz w:val="24"/>
      <w:szCs w:val="24"/>
      <w:lang w:val="en-GB"/>
    </w:rPr>
  </w:style>
  <w:style w:type="character" w:styleId="717">
    <w:name w:val="Strong"/>
    <w:qFormat/>
    <w:rPr>
      <w:b/>
      <w:bCs/>
    </w:rPr>
  </w:style>
  <w:style w:type="character" w:styleId="718" w:customStyle="1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719">
    <w:name w:val="FollowedHyperlink"/>
    <w:rPr>
      <w:color w:val="954f72"/>
      <w:u w:val="single"/>
    </w:rPr>
  </w:style>
  <w:style w:type="character" w:styleId="720" w:customStyle="1">
    <w:name w:val="Символ нумерации"/>
    <w:qFormat/>
  </w:style>
  <w:style w:type="paragraph" w:styleId="721" w:customStyle="1">
    <w:name w:val="Заголовок"/>
    <w:basedOn w:val="655"/>
    <w:next w:val="722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22">
    <w:name w:val="Body Text"/>
    <w:basedOn w:val="655"/>
    <w:pPr>
      <w:spacing w:after="140" w:line="276" w:lineRule="auto"/>
    </w:pPr>
  </w:style>
  <w:style w:type="paragraph" w:styleId="723">
    <w:name w:val="List"/>
    <w:basedOn w:val="722"/>
    <w:rPr>
      <w:rFonts w:cs="Lohit Devanagari"/>
    </w:rPr>
  </w:style>
  <w:style w:type="paragraph" w:styleId="724">
    <w:name w:val="Caption"/>
    <w:basedOn w:val="65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25">
    <w:name w:val="index heading"/>
    <w:basedOn w:val="721"/>
  </w:style>
  <w:style w:type="paragraph" w:styleId="726">
    <w:name w:val="List Paragraph"/>
    <w:basedOn w:val="655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5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9">
    <w:name w:val="Subtitle"/>
    <w:basedOn w:val="655"/>
    <w:uiPriority w:val="11"/>
    <w:qFormat/>
    <w:pPr>
      <w:spacing w:before="200" w:after="200"/>
    </w:pPr>
    <w:rPr>
      <w:sz w:val="24"/>
      <w:szCs w:val="24"/>
    </w:rPr>
  </w:style>
  <w:style w:type="paragraph" w:styleId="730">
    <w:name w:val="Quote"/>
    <w:basedOn w:val="655"/>
    <w:uiPriority w:val="29"/>
    <w:qFormat/>
    <w:pPr>
      <w:ind w:left="720" w:right="720"/>
    </w:pPr>
    <w:rPr>
      <w:i/>
    </w:rPr>
  </w:style>
  <w:style w:type="paragraph" w:styleId="731">
    <w:name w:val="Intense Quote"/>
    <w:basedOn w:val="6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2" w:customStyle="1">
    <w:name w:val="Колонтитул"/>
    <w:basedOn w:val="65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33">
    <w:name w:val="Footer"/>
    <w:basedOn w:val="65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4">
    <w:name w:val="footnote text"/>
    <w:basedOn w:val="655"/>
    <w:uiPriority w:val="99"/>
    <w:semiHidden/>
    <w:unhideWhenUsed/>
    <w:pPr>
      <w:spacing w:after="40"/>
    </w:pPr>
    <w:rPr>
      <w:sz w:val="18"/>
    </w:rPr>
  </w:style>
  <w:style w:type="paragraph" w:styleId="735">
    <w:name w:val="endnote text"/>
    <w:basedOn w:val="655"/>
    <w:uiPriority w:val="99"/>
    <w:semiHidden/>
    <w:unhideWhenUsed/>
  </w:style>
  <w:style w:type="paragraph" w:styleId="736">
    <w:name w:val="toc 1"/>
    <w:basedOn w:val="655"/>
    <w:uiPriority w:val="39"/>
    <w:unhideWhenUsed/>
    <w:pPr>
      <w:spacing w:after="57"/>
    </w:pPr>
  </w:style>
  <w:style w:type="paragraph" w:styleId="737">
    <w:name w:val="toc 2"/>
    <w:basedOn w:val="655"/>
    <w:uiPriority w:val="39"/>
    <w:unhideWhenUsed/>
    <w:pPr>
      <w:ind w:left="283"/>
      <w:spacing w:after="57"/>
    </w:pPr>
  </w:style>
  <w:style w:type="paragraph" w:styleId="738">
    <w:name w:val="toc 3"/>
    <w:basedOn w:val="655"/>
    <w:uiPriority w:val="39"/>
    <w:unhideWhenUsed/>
    <w:pPr>
      <w:ind w:left="567"/>
      <w:spacing w:after="57"/>
    </w:pPr>
  </w:style>
  <w:style w:type="paragraph" w:styleId="739">
    <w:name w:val="toc 4"/>
    <w:basedOn w:val="655"/>
    <w:uiPriority w:val="39"/>
    <w:unhideWhenUsed/>
    <w:pPr>
      <w:ind w:left="850"/>
      <w:spacing w:after="57"/>
    </w:pPr>
  </w:style>
  <w:style w:type="paragraph" w:styleId="740">
    <w:name w:val="toc 5"/>
    <w:basedOn w:val="655"/>
    <w:uiPriority w:val="39"/>
    <w:unhideWhenUsed/>
    <w:pPr>
      <w:ind w:left="1134"/>
      <w:spacing w:after="57"/>
    </w:pPr>
  </w:style>
  <w:style w:type="paragraph" w:styleId="741">
    <w:name w:val="toc 6"/>
    <w:basedOn w:val="655"/>
    <w:uiPriority w:val="39"/>
    <w:unhideWhenUsed/>
    <w:pPr>
      <w:ind w:left="1417"/>
      <w:spacing w:after="57"/>
    </w:pPr>
  </w:style>
  <w:style w:type="paragraph" w:styleId="742">
    <w:name w:val="toc 7"/>
    <w:basedOn w:val="655"/>
    <w:uiPriority w:val="39"/>
    <w:unhideWhenUsed/>
    <w:pPr>
      <w:ind w:left="1701"/>
      <w:spacing w:after="57"/>
    </w:pPr>
  </w:style>
  <w:style w:type="paragraph" w:styleId="743">
    <w:name w:val="toc 8"/>
    <w:basedOn w:val="655"/>
    <w:uiPriority w:val="39"/>
    <w:unhideWhenUsed/>
    <w:pPr>
      <w:ind w:left="1984"/>
      <w:spacing w:after="57"/>
    </w:pPr>
  </w:style>
  <w:style w:type="paragraph" w:styleId="744">
    <w:name w:val="toc 9"/>
    <w:basedOn w:val="655"/>
    <w:uiPriority w:val="39"/>
    <w:unhideWhenUsed/>
    <w:pPr>
      <w:ind w:left="2268"/>
      <w:spacing w:after="57"/>
    </w:pPr>
  </w:style>
  <w:style w:type="paragraph" w:styleId="745">
    <w:name w:val="TOC Heading"/>
    <w:uiPriority w:val="39"/>
    <w:unhideWhenUsed/>
    <w:qFormat/>
  </w:style>
  <w:style w:type="paragraph" w:styleId="746">
    <w:name w:val="table of figures"/>
    <w:basedOn w:val="655"/>
    <w:uiPriority w:val="99"/>
    <w:unhideWhenUsed/>
  </w:style>
  <w:style w:type="paragraph" w:styleId="747" w:customStyle="1">
    <w:name w:val="Caption1"/>
    <w:basedOn w:val="65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8">
    <w:name w:val="Header"/>
    <w:basedOn w:val="655"/>
    <w:pPr>
      <w:tabs>
        <w:tab w:val="center" w:pos="4153" w:leader="none"/>
        <w:tab w:val="right" w:pos="8306" w:leader="none"/>
      </w:tabs>
    </w:pPr>
  </w:style>
  <w:style w:type="paragraph" w:styleId="749">
    <w:name w:val="Balloon Text"/>
    <w:basedOn w:val="655"/>
    <w:qFormat/>
    <w:rPr>
      <w:rFonts w:ascii="Tahoma" w:hAnsi="Tahoma" w:cs="Tahoma"/>
      <w:sz w:val="16"/>
      <w:szCs w:val="16"/>
    </w:rPr>
  </w:style>
  <w:style w:type="paragraph" w:styleId="750" w:customStyle="1">
    <w:name w:val="prilozhenie"/>
    <w:basedOn w:val="655"/>
    <w:qFormat/>
    <w:pPr>
      <w:ind w:firstLine="709"/>
      <w:jc w:val="both"/>
    </w:pPr>
    <w:rPr>
      <w:sz w:val="24"/>
      <w:szCs w:val="24"/>
    </w:rPr>
  </w:style>
  <w:style w:type="paragraph" w:styleId="751">
    <w:name w:val="Body Text Indent 2"/>
    <w:basedOn w:val="655"/>
    <w:qFormat/>
    <w:pPr>
      <w:ind w:left="283" w:firstLine="709"/>
      <w:jc w:val="both"/>
      <w:spacing w:after="120" w:line="480" w:lineRule="auto"/>
    </w:pPr>
    <w:rPr>
      <w:sz w:val="28"/>
      <w:szCs w:val="24"/>
    </w:rPr>
  </w:style>
  <w:style w:type="paragraph" w:styleId="752">
    <w:name w:val="HTML Preformatted"/>
    <w:basedOn w:val="655"/>
    <w:qFormat/>
    <w:rPr>
      <w:rFonts w:ascii="Courier New" w:hAnsi="Courier New" w:cs="Courier New"/>
    </w:rPr>
  </w:style>
  <w:style w:type="paragraph" w:styleId="753" w:customStyle="1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754">
    <w:name w:val="Normal (Web)"/>
    <w:basedOn w:val="655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755" w:customStyle="1">
    <w:name w:val="Содержимое таблицы"/>
    <w:basedOn w:val="655"/>
    <w:qFormat/>
    <w:pPr>
      <w:widowControl w:val="off"/>
      <w:suppressLineNumbers/>
    </w:pPr>
  </w:style>
  <w:style w:type="paragraph" w:styleId="756" w:customStyle="1">
    <w:name w:val="Заголовок таблицы"/>
    <w:basedOn w:val="755"/>
    <w:qFormat/>
    <w:pPr>
      <w:jc w:val="center"/>
    </w:pPr>
    <w:rPr>
      <w:b/>
      <w:bCs/>
    </w:rPr>
  </w:style>
  <w:style w:type="paragraph" w:styleId="757" w:customStyle="1">
    <w:name w:val="Содержимое врезки"/>
    <w:basedOn w:val="655"/>
    <w:qFormat/>
  </w:style>
  <w:style w:type="table" w:styleId="758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6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62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63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4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789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790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791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52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53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54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55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56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64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65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66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67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68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69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70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1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2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3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4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5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76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77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8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80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81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82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83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884" w:customStyle="1">
    <w:name w:val="Абзац 4"/>
    <w:basedOn w:val="757"/>
    <w:hidden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 w:cstheme="minorBidi"/>
      <w:sz w:val="24"/>
      <w:szCs w:val="22"/>
      <w:lang w:eastAsia="ru-RU"/>
    </w:rPr>
  </w:style>
  <w:style w:type="paragraph" w:styleId="885" w:customStyle="1">
    <w:name w:val="Абзац 3"/>
    <w:basedOn w:val="655"/>
    <w:hidden/>
    <w:pPr>
      <w:jc w:val="both"/>
    </w:pPr>
    <w:rPr>
      <w:rFonts w:eastAsiaTheme="minorEastAsia" w:cstheme="minorBidi"/>
      <w:sz w:val="24"/>
      <w:szCs w:val="22"/>
      <w:lang w:eastAsia="ru-RU"/>
    </w:rPr>
  </w:style>
  <w:style w:type="character" w:styleId="886" w:customStyle="1">
    <w:name w:val="docdata"/>
    <w:basedOn w:val="665"/>
  </w:style>
  <w:style w:type="paragraph" w:styleId="887" w:customStyle="1">
    <w:name w:val="1560"/>
    <w:basedOn w:val="65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88" w:customStyle="1">
    <w:name w:val="1624"/>
    <w:basedOn w:val="65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89" w:customStyle="1">
    <w:name w:val="2076"/>
    <w:basedOn w:val="65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90" w:customStyle="1">
    <w:name w:val="1702"/>
    <w:basedOn w:val="65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91" w:customStyle="1">
    <w:name w:val="1650"/>
    <w:basedOn w:val="65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ogk2.ru/" TargetMode="External"/><Relationship Id="rId10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dc:language>ru-RU</dc:language>
  <cp:lastModifiedBy>shishova.ekaterina</cp:lastModifiedBy>
  <cp:revision>4</cp:revision>
  <dcterms:created xsi:type="dcterms:W3CDTF">2025-07-07T09:03:00Z</dcterms:created>
  <dcterms:modified xsi:type="dcterms:W3CDTF">2025-07-30T14:45:05Z</dcterms:modified>
</cp:coreProperties>
</file>