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-284"/>
        <w:jc w:val="center"/>
        <w:rPr>
          <w:b/>
          <w:color w:val="000000"/>
        </w:rPr>
      </w:pPr>
      <w:r>
        <w:rPr>
          <w:b/>
          <w:bCs/>
        </w:rPr>
        <w:t xml:space="preserve">Сообщение о существенном факте</w:t>
        <w:br/>
        <w:t xml:space="preserve">«</w:t>
      </w:r>
      <w:r>
        <w:rPr>
          <w:b/>
          <w:color w:val="000000"/>
        </w:rPr>
        <w:t xml:space="preserve">Об отдельных решениях, принятых советом директоров эмитента»</w:t>
      </w:r>
      <w:r/>
    </w:p>
    <w:p>
      <w:pPr>
        <w:pStyle w:val="662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  <w:r/>
    </w:p>
    <w:tbl>
      <w:tblPr>
        <w:tblW w:w="10490" w:type="dxa"/>
        <w:tblInd w:w="-289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5246"/>
        <w:gridCol w:w="52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9" w:type="dxa"/>
            <w:textDirection w:val="lrTb"/>
            <w:noWrap w:val="false"/>
          </w:tcPr>
          <w:p>
            <w:pPr>
              <w:pStyle w:val="662"/>
              <w:ind w:left="-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Общие сведения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/>
          </w:p>
          <w:p>
            <w:pPr>
              <w:pStyle w:val="66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1.2. Адрес эмитента, указанный в едином государственном реестре юридических лиц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196605, г. Санкт-Петербург, вн.тер.г. поселок Шушары,   ш Петербургское, д. 66, к. 1, литера А, этаж 7, помещ. 36-Н, каб. 701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1.3. Основной государственный регистрационный номер (ОГРН) эмитента (при наличии)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1052600002180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1.4. Идентификационный номер налогоплательщика (ИНН) эмитента (при наличии)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2607018122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1.5. Уникальный код эмитента, присвоенный Банком России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65105-D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1.6. Адрес страницы в сети Интернет, используемой эмитентом для раскрытия информации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right="57"/>
            </w:pPr>
            <w:r/>
            <w:hyperlink r:id="rId12" w:tooltip="https://www.ogk2.ru/" w:history="1">
              <w:r>
                <w:rPr>
                  <w:rStyle w:val="697"/>
                  <w:rFonts w:eastAsia="Times New Roman" w:cs="Times New Roman"/>
                  <w:sz w:val="20"/>
                  <w:szCs w:val="20"/>
                  <w:lang w:eastAsia="ru-RU"/>
                </w:rPr>
                <w:t xml:space="preserve">https://www.ogk2.ru</w:t>
              </w:r>
            </w:hyperlink>
            <w:r/>
            <w:r/>
          </w:p>
          <w:p>
            <w:pPr>
              <w:pStyle w:val="662"/>
              <w:ind w:right="85"/>
            </w:pPr>
            <w:r/>
            <w:hyperlink r:id="rId13" w:tooltip="https://www.e-disclosure.ru/portal/company.aspx?id=7234" w:history="1">
              <w:r>
                <w:rPr>
                  <w:rStyle w:val="697"/>
                  <w:rFonts w:eastAsia="Times New Roman" w:cs="Times New Roman"/>
                  <w:sz w:val="20"/>
                  <w:szCs w:val="20"/>
                  <w:lang w:eastAsia="ru-RU"/>
                </w:rPr>
                <w:t xml:space="preserve">https://www.e-disclosure.ru/portal/company.aspx?id=7234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1.7. Дата наступления события (существенного факта), о котором составлено сообщение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27.11.2023</w:t>
            </w:r>
            <w:r/>
          </w:p>
        </w:tc>
      </w:tr>
    </w:tbl>
    <w:p>
      <w:pPr>
        <w:pStyle w:val="66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/>
    </w:p>
    <w:tbl>
      <w:tblPr>
        <w:tblW w:w="10490" w:type="dxa"/>
        <w:tblInd w:w="-289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104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662"/>
              <w:ind w:left="-170" w:firstLine="170"/>
              <w:jc w:val="center"/>
            </w:pPr>
            <w:r>
              <w:t xml:space="preserve">2. Содержание сообщения</w:t>
            </w:r>
            <w:r/>
          </w:p>
        </w:tc>
      </w:tr>
      <w:tr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662"/>
              <w:jc w:val="both"/>
              <w:rPr>
                <w:rFonts w:eastAsia="Calibri" w:eastAsiaTheme="minorHAnsi"/>
                <w:lang w:eastAsia="en-US"/>
              </w:rPr>
            </w:pPr>
            <w:r>
              <w:t xml:space="preserve">2.1. </w:t>
            </w:r>
            <w:r>
              <w:rPr>
                <w:rFonts w:eastAsia="Calibri" w:eastAsiaTheme="minorHAnsi"/>
                <w:lang w:eastAsia="en-US"/>
              </w:rPr>
              <w:t xml:space="preserve">Сведения о кворуме заседания Совета директоров эмитента:</w:t>
            </w:r>
            <w:r/>
          </w:p>
          <w:p>
            <w:pPr>
              <w:pStyle w:val="662"/>
              <w:ind w:right="57"/>
            </w:pPr>
            <w:r>
              <w:rPr>
                <w:b/>
              </w:rPr>
              <w:t xml:space="preserve">В заочном голосовании приняли участие 10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t xml:space="preserve">.</w:t>
            </w:r>
            <w:r/>
          </w:p>
          <w:p>
            <w:pPr>
              <w:pStyle w:val="662"/>
              <w:ind w:left="-28" w:right="57"/>
              <w:jc w:val="both"/>
              <w:tabs>
                <w:tab w:val="left" w:pos="547" w:leader="none"/>
                <w:tab w:val="clear" w:pos="708" w:leader="none"/>
              </w:tabs>
            </w:pPr>
            <w:r>
              <w:t xml:space="preserve">2.2. Содержание решений, принятых советом директоров эмитента:</w:t>
            </w:r>
            <w:r/>
          </w:p>
          <w:p>
            <w:pPr>
              <w:pStyle w:val="662"/>
              <w:ind w:left="121" w:right="57"/>
              <w:jc w:val="both"/>
              <w:tabs>
                <w:tab w:val="left" w:pos="547" w:leader="none"/>
                <w:tab w:val="clear" w:pos="708" w:leader="none"/>
              </w:tabs>
            </w:pPr>
            <w:r/>
            <w:r/>
          </w:p>
          <w:p>
            <w:pPr>
              <w:pStyle w:val="707"/>
              <w:widowControl w:val="off"/>
              <w:rPr>
                <w:b/>
              </w:rPr>
            </w:pPr>
            <w:r>
              <w:rPr>
                <w:b/>
              </w:rPr>
              <w:t xml:space="preserve">Вопрос:</w:t>
            </w:r>
            <w:r/>
          </w:p>
          <w:p>
            <w:pPr>
              <w:pStyle w:val="735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1.Об определении закупочной политики в Обществе.</w:t>
            </w:r>
            <w:r/>
          </w:p>
          <w:p>
            <w:pPr>
              <w:pStyle w:val="735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  <w:r/>
          </w:p>
          <w:p>
            <w:pPr>
              <w:pStyle w:val="735"/>
              <w:spacing w:before="20" w:after="2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1.1. О внесении изменений в Годовую комплексную программу закупок Общества под нужды 2023 года.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  <w:t xml:space="preserve">Результаты голосования: За – 9, Против – 0, Воздержался – 1, не учитывались при голосовании- 0.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734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735"/>
              <w:spacing w:before="20" w:after="2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Утвердить корректировку Годовой комплексной программы закупок Общества под нужды 2023 года в соответствии с Приложением</w:t>
            </w:r>
            <w:bookmarkStart w:id="0" w:name="_GoBack_Копия_1"/>
            <w:r/>
            <w:bookmarkEnd w:id="0"/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 № 1 к решению Совета директоров.</w:t>
            </w:r>
            <w:r/>
          </w:p>
          <w:p>
            <w:pPr>
              <w:pStyle w:val="735"/>
              <w:spacing w:before="20" w:after="2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r>
            <w:r/>
          </w:p>
          <w:p>
            <w:pPr>
              <w:pStyle w:val="735"/>
              <w:spacing w:before="20" w:after="20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2.3.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проведения заседания совета директоров эмитента, на котором приняты решения: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27.11.2023.</w:t>
            </w:r>
            <w:r/>
          </w:p>
          <w:p>
            <w:pPr>
              <w:pStyle w:val="662"/>
              <w:ind w:right="57" w:firstLine="21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 xml:space="preserve">Протокол от 27.11.2023 № 311.</w:t>
            </w:r>
            <w:r/>
          </w:p>
        </w:tc>
      </w:tr>
    </w:tbl>
    <w:p>
      <w:pPr>
        <w:pStyle w:val="662"/>
      </w:pPr>
      <w:r/>
      <w:r/>
    </w:p>
    <w:tbl>
      <w:tblPr>
        <w:tblW w:w="10490" w:type="dxa"/>
        <w:tblInd w:w="-289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8"/>
        <w:gridCol w:w="416"/>
        <w:gridCol w:w="307"/>
        <w:gridCol w:w="1525"/>
        <w:gridCol w:w="1341"/>
        <w:gridCol w:w="460"/>
        <w:gridCol w:w="2310"/>
        <w:gridCol w:w="283"/>
      </w:tblGrid>
      <w:tr>
        <w:trPr>
          <w:cantSplit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9" w:type="dxa"/>
            <w:textDirection w:val="lrTb"/>
            <w:noWrap w:val="false"/>
          </w:tcPr>
          <w:p>
            <w:pPr>
              <w:pStyle w:val="662"/>
              <w:ind w:left="-61" w:firstLine="33"/>
              <w:jc w:val="center"/>
            </w:pPr>
            <w:r>
              <w:t xml:space="preserve">3. Подпись</w:t>
            </w:r>
            <w:r/>
          </w:p>
        </w:tc>
      </w:tr>
      <w:tr>
        <w:trPr>
          <w:cantSplit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6095" w:type="dxa"/>
            <w:vAlign w:val="bottom"/>
            <w:textDirection w:val="lrTb"/>
            <w:noWrap w:val="false"/>
          </w:tcPr>
          <w:p>
            <w:pPr>
              <w:pStyle w:val="662"/>
              <w:ind w:left="57"/>
              <w:rPr>
                <w:b/>
              </w:rPr>
            </w:pPr>
            <w:r>
              <w:rPr>
                <w:b/>
              </w:rPr>
              <w:t xml:space="preserve">3.1.</w:t>
            </w:r>
            <w:r>
              <w:rPr>
                <w:szCs w:val="22"/>
              </w:rPr>
              <w:t xml:space="preserve"> </w:t>
            </w:r>
            <w:r>
              <w:rPr>
                <w:b/>
              </w:rPr>
              <w:t xml:space="preserve">Заместитель управляющего директора</w:t>
            </w:r>
            <w:r/>
          </w:p>
          <w:p>
            <w:pPr>
              <w:pStyle w:val="662"/>
              <w:ind w:left="57"/>
              <w:rPr>
                <w:b/>
              </w:rPr>
            </w:pPr>
            <w:r>
              <w:rPr>
                <w:b/>
              </w:rPr>
              <w:t xml:space="preserve">по корпоративным и правовым вопросам, действующий на основании доверенности № 77/299-н/77-2022-1-1027 от 25.03.2022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1" w:type="dxa"/>
            <w:vAlign w:val="bottom"/>
            <w:textDirection w:val="lrTb"/>
            <w:noWrap w:val="false"/>
          </w:tcPr>
          <w:p>
            <w:pPr>
              <w:pStyle w:val="662"/>
              <w:rPr>
                <w:b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310" w:type="dxa"/>
            <w:vAlign w:val="bottom"/>
            <w:textDirection w:val="lrTb"/>
            <w:noWrap w:val="false"/>
          </w:tcPr>
          <w:p>
            <w:pPr>
              <w:pStyle w:val="662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 xml:space="preserve">М.А. Чалый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pStyle w:val="662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gridSpan w:val="2"/>
            <w:tcW w:w="1801" w:type="dxa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(подпись)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</w:tr>
      <w:tr>
        <w:trPr>
          <w:cantSplit/>
          <w:trHeight w:val="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629" w:type="dxa"/>
            <w:vAlign w:val="bottom"/>
            <w:textDirection w:val="lrTb"/>
            <w:noWrap w:val="false"/>
          </w:tcPr>
          <w:p>
            <w:pPr>
              <w:pStyle w:val="662"/>
              <w:ind w:left="57"/>
              <w:tabs>
                <w:tab w:val="clear" w:pos="708" w:leader="none"/>
                <w:tab w:val="left" w:pos="893" w:leader="none"/>
                <w:tab w:val="left" w:pos="1532" w:leader="none"/>
              </w:tabs>
            </w:pPr>
            <w:r>
              <w:t xml:space="preserve">3.2. Дата</w:t>
            </w:r>
            <w:r/>
          </w:p>
        </w:tc>
        <w:tc>
          <w:tcPr>
            <w:tcBorders>
              <w:bottom w:val="single" w:color="000000" w:sz="4" w:space="0"/>
            </w:tcBorders>
            <w:tcW w:w="607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«28»</w:t>
            </w:r>
            <w:r/>
          </w:p>
        </w:tc>
        <w:tc>
          <w:tcPr>
            <w:tcBorders>
              <w:bottom w:val="single" w:color="000000" w:sz="4" w:space="0"/>
            </w:tcBorders>
            <w:tcW w:w="293" w:type="dxa"/>
            <w:vAlign w:val="bottom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318" w:type="dxa"/>
            <w:vAlign w:val="bottom"/>
            <w:textDirection w:val="lrTb"/>
            <w:noWrap w:val="false"/>
          </w:tcPr>
          <w:p>
            <w:pPr>
              <w:pStyle w:val="662"/>
              <w:rPr>
                <w:lang w:val="en-US"/>
              </w:rPr>
            </w:pPr>
            <w:r>
              <w:t xml:space="preserve">ноября</w:t>
            </w:r>
            <w:r/>
          </w:p>
        </w:tc>
        <w:tc>
          <w:tcPr>
            <w:tcBorders>
              <w:bottom w:val="single" w:color="000000" w:sz="4" w:space="0"/>
            </w:tcBorders>
            <w:tcW w:w="416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07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23</w:t>
            </w:r>
            <w:r/>
          </w:p>
        </w:tc>
        <w:tc>
          <w:tcPr>
            <w:tcBorders>
              <w:bottom w:val="single" w:color="000000" w:sz="4" w:space="0"/>
            </w:tcBorders>
            <w:tcW w:w="1525" w:type="dxa"/>
            <w:vAlign w:val="bottom"/>
            <w:textDirection w:val="lrTb"/>
            <w:noWrap w:val="false"/>
          </w:tcPr>
          <w:p>
            <w:pPr>
              <w:pStyle w:val="662"/>
              <w:ind w:left="57"/>
            </w:pPr>
            <w:r>
              <w:t xml:space="preserve">г.</w:t>
            </w:r>
            <w:r/>
          </w:p>
        </w:tc>
        <w:tc>
          <w:tcPr>
            <w:tcBorders>
              <w:bottom w:val="single" w:color="000000" w:sz="4" w:space="0"/>
            </w:tcBorders>
            <w:tcW w:w="1341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</w:pPr>
            <w:r/>
            <w:r/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053" w:type="dxa"/>
            <w:vAlign w:val="bottom"/>
            <w:textDirection w:val="lrTb"/>
            <w:noWrap w:val="false"/>
          </w:tcPr>
          <w:p>
            <w:pPr>
              <w:pStyle w:val="662"/>
            </w:pPr>
            <w:r/>
            <w:r/>
          </w:p>
        </w:tc>
      </w:tr>
    </w:tbl>
    <w:p>
      <w:pPr>
        <w:pStyle w:val="662"/>
        <w:tabs>
          <w:tab w:val="clear" w:pos="708" w:leader="none"/>
          <w:tab w:val="left" w:pos="2895" w:leader="none"/>
        </w:tabs>
      </w:pPr>
      <w:r/>
      <w:r/>
      <w:bookmarkStart w:id="2" w:name="_GoBack"/>
      <w:r/>
      <w:bookmarkEnd w:id="2"/>
      <w:r/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341" w:right="851" w:bottom="341" w:left="1134" w:header="284" w:footer="284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Micro Hei">
    <w:panose1 w:val="020B0606030804020204"/>
  </w:font>
  <w:font w:name="Lohit Devanagari">
    <w:panose1 w:val="020B0600000000000000"/>
  </w:font>
  <w:font w:name="Open Sans">
    <w:panose1 w:val="020B0606030504020204"/>
  </w:font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30"/>
                            <w:rPr>
                              <w:rStyle w:val="696"/>
                            </w:rPr>
                          </w:pPr>
                          <w:r>
                            <w:rPr>
                              <w:rStyle w:val="69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30"/>
                      <w:rPr>
                        <w:rStyle w:val="696"/>
                      </w:rPr>
                    </w:pPr>
                    <w:r>
                      <w:rPr>
                        <w:rStyle w:val="696"/>
                        <w:color w:val="000000"/>
                      </w:rPr>
                      <w:fldChar w:fldCharType="begin"/>
                    </w:r>
                    <w:r>
                      <w:rPr>
                        <w:rStyle w:val="69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696"/>
                        <w:color w:val="000000"/>
                      </w:rPr>
                      <w:fldChar w:fldCharType="separate"/>
                    </w:r>
                    <w:r>
                      <w:rPr>
                        <w:rStyle w:val="696"/>
                        <w:color w:val="000000"/>
                      </w:rPr>
                      <w:t xml:space="preserve">0</w:t>
                    </w:r>
                    <w:r>
                      <w:rPr>
                        <w:rStyle w:val="696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62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63">
    <w:name w:val="Heading 1"/>
    <w:basedOn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1 Char"/>
    <w:basedOn w:val="694"/>
    <w:uiPriority w:val="9"/>
    <w:qFormat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4"/>
    <w:uiPriority w:val="9"/>
    <w:qFormat/>
    <w:rPr>
      <w:rFonts w:ascii="Arial" w:hAnsi="Arial" w:eastAsia="Arial" w:cs="Arial"/>
      <w:sz w:val="34"/>
    </w:rPr>
  </w:style>
  <w:style w:type="character" w:styleId="674">
    <w:name w:val="Heading 3 Char"/>
    <w:basedOn w:val="694"/>
    <w:uiPriority w:val="9"/>
    <w:qFormat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4"/>
    <w:uiPriority w:val="10"/>
    <w:qFormat/>
    <w:rPr>
      <w:sz w:val="48"/>
      <w:szCs w:val="48"/>
    </w:rPr>
  </w:style>
  <w:style w:type="character" w:styleId="682">
    <w:name w:val="Subtitle Char"/>
    <w:basedOn w:val="694"/>
    <w:uiPriority w:val="11"/>
    <w:qFormat/>
    <w:rPr>
      <w:sz w:val="24"/>
      <w:szCs w:val="24"/>
    </w:rPr>
  </w:style>
  <w:style w:type="character" w:styleId="683">
    <w:name w:val="Quote Char"/>
    <w:uiPriority w:val="29"/>
    <w:qFormat/>
    <w:rPr>
      <w:i/>
    </w:rPr>
  </w:style>
  <w:style w:type="character" w:styleId="684">
    <w:name w:val="Intense Quote Char"/>
    <w:uiPriority w:val="30"/>
    <w:qFormat/>
    <w:rPr>
      <w:i/>
    </w:rPr>
  </w:style>
  <w:style w:type="character" w:styleId="685">
    <w:name w:val="Header Char"/>
    <w:basedOn w:val="694"/>
    <w:uiPriority w:val="99"/>
    <w:qFormat/>
  </w:style>
  <w:style w:type="character" w:styleId="686">
    <w:name w:val="Footer Char"/>
    <w:basedOn w:val="694"/>
    <w:uiPriority w:val="99"/>
    <w:qFormat/>
  </w:style>
  <w:style w:type="character" w:styleId="687">
    <w:name w:val="Caption Char"/>
    <w:uiPriority w:val="99"/>
    <w:qFormat/>
  </w:style>
  <w:style w:type="character" w:styleId="688">
    <w:name w:val="Footnote Text Char"/>
    <w:uiPriority w:val="99"/>
    <w:qFormat/>
    <w:rPr>
      <w:sz w:val="18"/>
    </w:rPr>
  </w:style>
  <w:style w:type="character" w:styleId="689">
    <w:name w:val="Символ сноски"/>
    <w:uiPriority w:val="99"/>
    <w:unhideWhenUsed/>
    <w:qFormat/>
    <w:rPr>
      <w:vertAlign w:val="superscript"/>
    </w:rPr>
  </w:style>
  <w:style w:type="character" w:styleId="690">
    <w:name w:val="footnote reference"/>
    <w:rPr>
      <w:vertAlign w:val="superscript"/>
    </w:rPr>
  </w:style>
  <w:style w:type="character" w:styleId="691">
    <w:name w:val="Endnote Text Char"/>
    <w:uiPriority w:val="99"/>
    <w:qFormat/>
    <w:rPr>
      <w:sz w:val="20"/>
    </w:rPr>
  </w:style>
  <w:style w:type="character" w:styleId="6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3">
    <w:name w:val="endnote reference"/>
    <w:rPr>
      <w:vertAlign w:val="superscript"/>
    </w:rPr>
  </w:style>
  <w:style w:type="character" w:styleId="694" w:default="1">
    <w:name w:val="Default Paragraph Font"/>
    <w:uiPriority w:val="1"/>
    <w:semiHidden/>
    <w:unhideWhenUsed/>
    <w:qFormat/>
  </w:style>
  <w:style w:type="character" w:styleId="695" w:customStyle="1">
    <w:name w:val="Верхний колонтитул Знак"/>
    <w:basedOn w:val="69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6">
    <w:name w:val="page number"/>
    <w:basedOn w:val="694"/>
    <w:qFormat/>
  </w:style>
  <w:style w:type="character" w:styleId="697">
    <w:name w:val="Hyperlink"/>
    <w:rPr>
      <w:color w:val="0000ff"/>
      <w:u w:val="single"/>
    </w:rPr>
  </w:style>
  <w:style w:type="character" w:styleId="698" w:customStyle="1">
    <w:name w:val="Основной текст Знак"/>
    <w:basedOn w:val="69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9" w:customStyle="1">
    <w:name w:val="Нижний колонтитул Знак"/>
    <w:basedOn w:val="69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0" w:customStyle="1">
    <w:name w:val="Текст выноски Знак"/>
    <w:basedOn w:val="694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70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702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703">
    <w:name w:val="Subtle Emphasis"/>
    <w:basedOn w:val="694"/>
    <w:uiPriority w:val="19"/>
    <w:qFormat/>
    <w:rPr>
      <w:i/>
      <w:iCs/>
      <w:color w:val="404040" w:themeColor="text1" w:themeTint="BF"/>
    </w:rPr>
  </w:style>
  <w:style w:type="character" w:styleId="704">
    <w:name w:val="Strong"/>
    <w:basedOn w:val="694"/>
    <w:uiPriority w:val="22"/>
    <w:qFormat/>
    <w:rPr>
      <w:b/>
      <w:bCs/>
    </w:rPr>
  </w:style>
  <w:style w:type="character" w:styleId="705" w:customStyle="1">
    <w:name w:val="Subst"/>
    <w:uiPriority w:val="99"/>
    <w:qFormat/>
    <w:rPr>
      <w:b/>
      <w:i/>
    </w:rPr>
  </w:style>
  <w:style w:type="paragraph" w:styleId="706">
    <w:name w:val="Заголовок"/>
    <w:basedOn w:val="662"/>
    <w:next w:val="707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07">
    <w:name w:val="Body Text"/>
    <w:basedOn w:val="662"/>
    <w:pPr>
      <w:spacing w:before="0" w:after="120"/>
    </w:pPr>
  </w:style>
  <w:style w:type="paragraph" w:styleId="708">
    <w:name w:val="List"/>
    <w:basedOn w:val="707"/>
    <w:rPr>
      <w:rFonts w:cs="Lohit Devanagari"/>
    </w:rPr>
  </w:style>
  <w:style w:type="paragraph" w:styleId="709">
    <w:name w:val="Caption"/>
    <w:basedOn w:val="66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10">
    <w:name w:val="Указатель"/>
    <w:basedOn w:val="662"/>
    <w:qFormat/>
    <w:pPr>
      <w:suppressLineNumbers/>
    </w:pPr>
    <w:rPr>
      <w:rFonts w:cs="Lohit Devanagari"/>
    </w:rPr>
  </w:style>
  <w:style w:type="paragraph" w:styleId="711">
    <w:name w:val="Title"/>
    <w:basedOn w:val="6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2">
    <w:name w:val="Subtitle"/>
    <w:basedOn w:val="662"/>
    <w:uiPriority w:val="11"/>
    <w:qFormat/>
    <w:pPr>
      <w:spacing w:before="200" w:after="200"/>
    </w:pPr>
    <w:rPr>
      <w:sz w:val="24"/>
      <w:szCs w:val="24"/>
    </w:rPr>
  </w:style>
  <w:style w:type="paragraph" w:styleId="713">
    <w:name w:val="Quote"/>
    <w:basedOn w:val="662"/>
    <w:uiPriority w:val="29"/>
    <w:qFormat/>
    <w:pPr>
      <w:ind w:left="720" w:right="720"/>
    </w:pPr>
    <w:rPr>
      <w:i/>
    </w:rPr>
  </w:style>
  <w:style w:type="paragraph" w:styleId="714">
    <w:name w:val="Intense Quote"/>
    <w:basedOn w:val="66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5">
    <w:name w:val="footnote text"/>
    <w:basedOn w:val="66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6">
    <w:name w:val="endnote text"/>
    <w:basedOn w:val="66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7">
    <w:name w:val="toc 1"/>
    <w:basedOn w:val="662"/>
    <w:uiPriority w:val="39"/>
    <w:unhideWhenUsed/>
    <w:pPr>
      <w:ind w:left="0" w:right="0" w:firstLine="0"/>
      <w:spacing w:before="0" w:after="57"/>
    </w:pPr>
  </w:style>
  <w:style w:type="paragraph" w:styleId="718">
    <w:name w:val="toc 2"/>
    <w:basedOn w:val="662"/>
    <w:uiPriority w:val="39"/>
    <w:unhideWhenUsed/>
    <w:pPr>
      <w:ind w:left="283" w:right="0" w:firstLine="0"/>
      <w:spacing w:before="0" w:after="57"/>
    </w:pPr>
  </w:style>
  <w:style w:type="paragraph" w:styleId="719">
    <w:name w:val="toc 3"/>
    <w:basedOn w:val="662"/>
    <w:uiPriority w:val="39"/>
    <w:unhideWhenUsed/>
    <w:pPr>
      <w:ind w:left="567" w:right="0" w:firstLine="0"/>
      <w:spacing w:before="0" w:after="57"/>
    </w:pPr>
  </w:style>
  <w:style w:type="paragraph" w:styleId="720">
    <w:name w:val="toc 4"/>
    <w:basedOn w:val="662"/>
    <w:uiPriority w:val="39"/>
    <w:unhideWhenUsed/>
    <w:pPr>
      <w:ind w:left="850" w:right="0" w:firstLine="0"/>
      <w:spacing w:before="0" w:after="57"/>
    </w:pPr>
  </w:style>
  <w:style w:type="paragraph" w:styleId="721">
    <w:name w:val="toc 5"/>
    <w:basedOn w:val="662"/>
    <w:uiPriority w:val="39"/>
    <w:unhideWhenUsed/>
    <w:pPr>
      <w:ind w:left="1134" w:right="0" w:firstLine="0"/>
      <w:spacing w:before="0" w:after="57"/>
    </w:pPr>
  </w:style>
  <w:style w:type="paragraph" w:styleId="722">
    <w:name w:val="toc 6"/>
    <w:basedOn w:val="662"/>
    <w:uiPriority w:val="39"/>
    <w:unhideWhenUsed/>
    <w:pPr>
      <w:ind w:left="1417" w:right="0" w:firstLine="0"/>
      <w:spacing w:before="0" w:after="57"/>
    </w:pPr>
  </w:style>
  <w:style w:type="paragraph" w:styleId="723">
    <w:name w:val="toc 7"/>
    <w:basedOn w:val="662"/>
    <w:uiPriority w:val="39"/>
    <w:unhideWhenUsed/>
    <w:pPr>
      <w:ind w:left="1701" w:right="0" w:firstLine="0"/>
      <w:spacing w:before="0" w:after="57"/>
    </w:pPr>
  </w:style>
  <w:style w:type="paragraph" w:styleId="724">
    <w:name w:val="toc 8"/>
    <w:basedOn w:val="662"/>
    <w:uiPriority w:val="39"/>
    <w:unhideWhenUsed/>
    <w:pPr>
      <w:ind w:left="1984" w:right="0" w:firstLine="0"/>
      <w:spacing w:before="0" w:after="57"/>
    </w:pPr>
  </w:style>
  <w:style w:type="paragraph" w:styleId="725">
    <w:name w:val="toc 9"/>
    <w:basedOn w:val="662"/>
    <w:uiPriority w:val="39"/>
    <w:unhideWhenUsed/>
    <w:pPr>
      <w:ind w:left="2268" w:right="0" w:firstLine="0"/>
      <w:spacing w:before="0" w:after="57"/>
    </w:pPr>
  </w:style>
  <w:style w:type="paragraph" w:styleId="726">
    <w:name w:val="Index Heading"/>
    <w:basedOn w:val="706"/>
  </w:style>
  <w:style w:type="paragraph" w:styleId="72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8">
    <w:name w:val="table of figures"/>
    <w:basedOn w:val="662"/>
    <w:uiPriority w:val="99"/>
    <w:unhideWhenUsed/>
    <w:pPr>
      <w:spacing w:before="0" w:after="0" w:afterAutospacing="0"/>
    </w:pPr>
  </w:style>
  <w:style w:type="paragraph" w:styleId="729">
    <w:name w:val="Колонтитул"/>
    <w:basedOn w:val="662"/>
    <w:qFormat/>
  </w:style>
  <w:style w:type="paragraph" w:styleId="730">
    <w:name w:val="Header"/>
    <w:basedOn w:val="662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731">
    <w:name w:val="Footer"/>
    <w:basedOn w:val="662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2">
    <w:name w:val="Balloon Text"/>
    <w:basedOn w:val="66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33">
    <w:name w:val="List Paragraph"/>
    <w:basedOn w:val="662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35" w:customStyle="1">
    <w:name w:val="Абзац 3"/>
    <w:basedOn w:val="662"/>
    <w:qFormat/>
    <w:pPr>
      <w:jc w:val="both"/>
    </w:pPr>
    <w:rPr>
      <w:rFonts w:eastAsia="Arial" w:cs="Arial" w:eastAsiaTheme="minorEastAsia" w:cstheme="minorBidi"/>
      <w:sz w:val="24"/>
      <w:szCs w:val="22"/>
    </w:rPr>
  </w:style>
  <w:style w:type="paragraph" w:styleId="736" w:customStyle="1">
    <w:name w:val="Абзац 2"/>
    <w:basedOn w:val="662"/>
    <w:qFormat/>
    <w:pPr>
      <w:jc w:val="both"/>
    </w:pPr>
    <w:rPr>
      <w:rFonts w:eastAsia="Arial" w:cs="Arial" w:eastAsiaTheme="minorEastAsia" w:cstheme="minorBidi"/>
      <w:b/>
      <w:sz w:val="24"/>
      <w:szCs w:val="22"/>
    </w:rPr>
  </w:style>
  <w:style w:type="paragraph" w:styleId="737">
    <w:name w:val="Содержимое врезки"/>
    <w:basedOn w:val="662"/>
    <w:qFormat/>
  </w:style>
  <w:style w:type="paragraph" w:styleId="738">
    <w:name w:val="Содержимое таблицы"/>
    <w:basedOn w:val="662"/>
    <w:qFormat/>
    <w:pPr>
      <w:widowControl w:val="off"/>
      <w:suppressLineNumbers/>
    </w:pPr>
  </w:style>
  <w:style w:type="paragraph" w:styleId="739">
    <w:name w:val="Заголовок таблицы"/>
    <w:basedOn w:val="738"/>
    <w:qFormat/>
    <w:pPr>
      <w:jc w:val="center"/>
      <w:suppressLineNumbers/>
    </w:pPr>
    <w:rPr>
      <w:b/>
      <w:bCs/>
    </w:rPr>
  </w:style>
  <w:style w:type="numbering" w:styleId="740" w:default="1">
    <w:name w:val="No List"/>
    <w:uiPriority w:val="99"/>
    <w:semiHidden/>
    <w:unhideWhenUsed/>
    <w:qFormat/>
  </w:style>
  <w:style w:type="table" w:styleId="12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ogk2.ru/" TargetMode="External"/><Relationship Id="rId13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42A1-66DA-4DB7-9313-217AC7C7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dc:description/>
  <dc:language>ru-RU</dc:language>
  <cp:revision>340</cp:revision>
  <dcterms:created xsi:type="dcterms:W3CDTF">2020-02-27T13:07:00Z</dcterms:created>
  <dcterms:modified xsi:type="dcterms:W3CDTF">2023-11-28T14:30:52Z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