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77"/>
        <w:gridCol w:w="5637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>
          <w:trHeight w:val="69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415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23.05.2024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59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79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tabs>
                <w:tab w:val="clear" w:pos="708"/>
                <w:tab w:val="left" w:pos="10772" w:leader="none"/>
              </w:tabs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left" w:pos="-142" w:leader="none"/>
                <w:tab w:val="left" w:pos="547" w:leader="none"/>
                <w:tab w:val="left" w:pos="708" w:leader="none"/>
              </w:tabs>
              <w:ind w:hanging="0" w:left="-283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Вопрос: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 рассмотрении вопросов, связанных с подготовкой и проведением годового Общего собрания акционеров Общества.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4"/>
              <w:spacing w:before="20" w:after="20"/>
              <w:rPr/>
            </w:pPr>
            <w:r>
              <w:rPr/>
              <w:t>1.1. Об утверждении формы и текста бюллетеней для голосования на годовом Общем собрании акционеров Общества.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>Утвердить форму и текст бюллетеня для голосования на годовом Общем собрании акционеров Общества, а также формулировки решений по вопросам повестки дня годового Общего собрания акционеров Общества, которые должны направляться в электронной форме (в форме электронных документов) номинальным держателям акций Общества, зарегистрированным в реестре акционеров Общества, согласно Приложению № 1 к решению Совета директоров ПАО «ОГК-2».</w:t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4"/>
              <w:spacing w:before="20" w:after="20"/>
              <w:rPr/>
            </w:pPr>
            <w:r>
              <w:rPr>
                <w:b/>
                <w:bCs/>
              </w:rPr>
              <w:t>5. Об определении закупочной политики в Обществе</w:t>
            </w:r>
            <w:r>
              <w:rPr/>
              <w:t>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4"/>
              <w:spacing w:before="20" w:after="20"/>
              <w:rPr/>
            </w:pPr>
            <w:r>
              <w:rPr/>
              <w:t>5.1. О внесении изменений в Годовую комплексную программу закупок Общества под нужды 2024 года.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голосования: За – 1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 Против – 0, Воздержался – 0, не учитывались при голосовании – 0.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sz w:val="20"/>
                <w:szCs w:val="20"/>
              </w:rPr>
              <w:t>Утвердить корректировку Годовой комплексной программы закупок Общества под нужды 2024 года в соответствии с Приложением № 5 к решению Совета директоров ПАО «ОГК-2».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23.05.2024.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>Протокол от 23.05.2024 № 323.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2.5. </w:t>
            </w:r>
            <w:r>
              <w:rPr>
                <w:sz w:val="20"/>
                <w:szCs w:val="20"/>
              </w:rPr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>
              <w:rPr>
                <w:b/>
                <w:sz w:val="20"/>
                <w:szCs w:val="20"/>
              </w:rPr>
              <w:t xml:space="preserve"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 ESVXFR;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регистрационный номер дополнительного выпуска ценных бумаг 1-02-65105-D-006D от 14.03.2024 г., международный код (номер) идентификации ценных бумаг (ISIN): RU000A1082F7, международный код классификации финансовых инструментов (CFI): ESVXFR.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Cs w:val="22"/>
                <w:lang w:eastAsia="ko-KR"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«24»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мая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paragraph" w:styleId="3">
    <w:name w:val="Абзац 3"/>
    <w:basedOn w:val="Normal"/>
    <w:qFormat/>
    <w:pPr>
      <w:jc w:val="both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LibreOffice/7.6.4.1$Linux_X86_64 LibreOffice_project/60$Build-1</Application>
  <AppVersion>15.0000</AppVersion>
  <Pages>2</Pages>
  <Words>455</Words>
  <Characters>3240</Characters>
  <CharactersWithSpaces>3656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 Елена Викторовна</dc:creator>
  <dc:description/>
  <dc:language>ru-RU</dc:language>
  <cp:lastModifiedBy/>
  <cp:lastPrinted>2024-05-24T12:40:44Z</cp:lastPrinted>
  <dcterms:modified xsi:type="dcterms:W3CDTF">2024-05-24T17:46:02Z</dcterms:modified>
  <cp:revision>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