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firstLine="540" w:left="0" w:right="0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numPr>
          <w:ilvl w:val="0"/>
          <w:numId w:val="0"/>
        </w:numPr>
        <w:ind w:firstLine="540" w:left="0" w:right="0"/>
        <w:jc w:val="center"/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Сообщение о существенном факте </w:t>
      </w:r>
    </w:p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2"/>
          <w:szCs w:val="22"/>
        </w:rPr>
        <w:t>«</w:t>
      </w:r>
      <w:r>
        <w:rPr>
          <w:b/>
          <w:sz w:val="22"/>
          <w:szCs w:val="22"/>
        </w:rPr>
        <w:t>О проведении заседания совета директоров эмитента и его повестке дня</w:t>
      </w:r>
      <w:r>
        <w:rPr>
          <w:b/>
          <w:bCs/>
          <w:sz w:val="22"/>
          <w:szCs w:val="22"/>
        </w:rPr>
        <w:t>»</w:t>
      </w:r>
    </w:p>
    <w:p>
      <w:pPr>
        <w:pStyle w:val="Normal"/>
        <w:numPr>
          <w:ilvl w:val="0"/>
          <w:numId w:val="0"/>
        </w:numPr>
        <w:ind w:firstLine="540" w:left="0" w:right="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10661" w:type="dxa"/>
        <w:jc w:val="left"/>
        <w:tblInd w:w="-426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4848"/>
        <w:gridCol w:w="5812"/>
      </w:tblGrid>
      <w:tr>
        <w:trPr/>
        <w:tc>
          <w:tcPr>
            <w:tcW w:w="10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sz w:val="22"/>
                <w:szCs w:val="22"/>
              </w:rPr>
              <w:t>1. Общие сведения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b/>
                <w:bCs/>
                <w:szCs w:val="22"/>
              </w:rPr>
            </w:pPr>
            <w:r>
              <w:rPr>
                <w:szCs w:val="22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Публичное акционерное общество «Вторая генерирующая компания оптового рынка электроэнергии»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Cs w:val="22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196605, г. Санкт-Петербург, вн.тер.г. поселок Шушары, ш Петербургское, д. 66, к. 1, литера А, этаж 7, помещ. 36-Н, каб. 701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Cs w:val="22"/>
              </w:rPr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1052600002180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Cs w:val="22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2607018122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Cs w:val="22"/>
              </w:rPr>
              <w:t>1.5. Уникальный код эмитента, присвоенный Банком России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40"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65105-D</w:t>
            </w:r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Cs w:val="22"/>
              </w:rPr>
              <w:t>1.6. Адрес страницы в сети Интернет, используемой эмитентом для раскрытия информации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57"/>
              <w:rPr>
                <w:b/>
                <w:bCs/>
              </w:rPr>
            </w:pPr>
            <w:hyperlink r:id="rId2" w:tgtFrame="https://www.ogk2.ru/">
              <w:r>
                <w:rPr>
                  <w:rStyle w:val="Hyperlink"/>
                  <w:rFonts w:eastAsia="Times New Roman" w:cs="Times New Roman"/>
                  <w:b/>
                  <w:bCs/>
                  <w:color w:val="auto"/>
                  <w:sz w:val="20"/>
                  <w:szCs w:val="22"/>
                  <w:lang w:val="ru-RU" w:bidi="ar-SA"/>
                </w:rPr>
                <w:t>https://www.ogk2.ru</w:t>
              </w:r>
            </w:hyperlink>
          </w:p>
          <w:p>
            <w:pPr>
              <w:pStyle w:val="Normal"/>
              <w:ind w:right="85"/>
              <w:rPr>
                <w:b/>
                <w:bCs/>
              </w:rPr>
            </w:pPr>
            <w:hyperlink r:id="rId3" w:tgtFrame="https://www.e-disclosure.ru/portal/company.aspx?id=7234">
              <w:r>
                <w:rPr>
                  <w:rStyle w:val="Hyperlink"/>
                  <w:rFonts w:eastAsia="Times New Roman" w:cs="Times New Roman"/>
                  <w:b/>
                  <w:bCs/>
                  <w:color w:val="auto"/>
                  <w:sz w:val="20"/>
                  <w:szCs w:val="22"/>
                  <w:lang w:val="ru-RU" w:bidi="ar-SA"/>
                </w:rPr>
                <w:t>https://www.e-disclosure.ru/portal/company.aspx?id=7234</w:t>
              </w:r>
            </w:hyperlink>
          </w:p>
        </w:tc>
      </w:tr>
      <w:tr>
        <w:trPr/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szCs w:val="22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right="85"/>
              <w:rPr>
                <w:b/>
                <w:bCs/>
              </w:rPr>
            </w:pP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1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1</w:t>
            </w:r>
            <w:r>
              <w:rPr>
                <w:rFonts w:eastAsia="Times New Roman" w:cs="Times New Roman"/>
                <w:b/>
                <w:bCs/>
                <w:color w:val="auto"/>
                <w:sz w:val="20"/>
                <w:szCs w:val="22"/>
                <w:lang w:val="ru-RU" w:bidi="ar-SA"/>
              </w:rPr>
              <w:t>.07.2024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0622" w:type="dxa"/>
        <w:jc w:val="left"/>
        <w:tblInd w:w="-387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10622"/>
      </w:tblGrid>
      <w:tr>
        <w:trPr/>
        <w:tc>
          <w:tcPr>
            <w:tcW w:w="10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2. Содержание сообщения</w:t>
            </w:r>
          </w:p>
        </w:tc>
      </w:tr>
      <w:tr>
        <w:trPr>
          <w:trHeight w:val="1484" w:hRule="atLeast"/>
        </w:trPr>
        <w:tc>
          <w:tcPr>
            <w:tcW w:w="10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28" w:right="57"/>
              <w:jc w:val="both"/>
              <w:rPr>
                <w:color w:val="000000"/>
              </w:rPr>
            </w:pPr>
            <w:r>
              <w:rPr/>
              <w:t>2.1. Д</w:t>
            </w:r>
            <w:r>
              <w:rPr>
                <w:color w:val="000000"/>
              </w:rPr>
              <w:t>ата принятия Председателем совета директоров эмитента решения о проведении заседания совета директоров эмитента: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 xml:space="preserve"> 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>1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>1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>.07</w:t>
            </w:r>
            <w:r>
              <w:rPr>
                <w:b/>
              </w:rPr>
              <w:t>.2024.</w:t>
            </w:r>
          </w:p>
          <w:p>
            <w:pPr>
              <w:pStyle w:val="Normal"/>
              <w:ind w:left="-28" w:right="57"/>
              <w:jc w:val="both"/>
              <w:rPr>
                <w:rFonts w:eastAsia="Times New Roman" w:cs="Times New Roman"/>
                <w:b/>
                <w:color w:val="auto"/>
                <w:sz w:val="20"/>
                <w:szCs w:val="20"/>
                <w:lang w:val="ru-RU" w:bidi="ar-SA"/>
              </w:rPr>
            </w:pPr>
            <w:r>
              <w:rPr>
                <w:color w:val="000000"/>
              </w:rPr>
              <w:t>2.2. Дата проведения заседания совета директоров эмитента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 xml:space="preserve">: 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eastAsia="zh-CN" w:bidi="ar-SA"/>
              </w:rPr>
              <w:t>16.</w:t>
            </w:r>
            <w:r>
              <w:rPr>
                <w:rFonts w:eastAsia="Times New Roman" w:cs="Times New Roman"/>
                <w:b/>
                <w:color w:val="auto"/>
                <w:sz w:val="20"/>
                <w:szCs w:val="20"/>
                <w:lang w:val="ru-RU" w:bidi="ar-SA"/>
              </w:rPr>
              <w:t>07.2024.</w:t>
            </w:r>
          </w:p>
          <w:p>
            <w:pPr>
              <w:pStyle w:val="Normal"/>
              <w:ind w:left="-28" w:right="57"/>
              <w:jc w:val="both"/>
              <w:rPr>
                <w:b/>
                <w:color w:val="000000"/>
              </w:rPr>
            </w:pPr>
            <w:r>
              <w:rPr>
                <w:rFonts w:eastAsia="Times New Roman" w:cs="Times New Roman"/>
                <w:b w:val="false"/>
                <w:bCs w:val="false"/>
                <w:color w:val="auto"/>
                <w:sz w:val="20"/>
                <w:szCs w:val="20"/>
                <w:lang w:val="ru-RU" w:bidi="ar-SA"/>
              </w:rPr>
              <w:t xml:space="preserve">2.3.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ru-RU" w:bidi="ar-SA"/>
              </w:rPr>
              <w:t>Повестка дня заседания совета директоров эмитента: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0" w:right="57"/>
              <w:jc w:val="both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zh-CN" w:bidi="ar-SA"/>
              </w:rPr>
              <w:t>1. Об определении закупочной политики в Обществе.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0" w:right="57"/>
              <w:jc w:val="both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zh-CN" w:bidi="ar-SA"/>
              </w:rPr>
              <w:t>2. О рассмотрении отчета о выполнении Плана мероприятий по повышению операционной эффективности и оптимизации расходов ПАО «ОГК-2» за 12 мес</w:t>
            </w: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zh-CN" w:bidi="ar-SA"/>
              </w:rPr>
              <w:t xml:space="preserve">яцев </w:t>
            </w: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zh-CN" w:bidi="ar-SA"/>
              </w:rPr>
              <w:t>2023 года.</w:t>
            </w:r>
          </w:p>
          <w:p>
            <w:pPr>
              <w:pStyle w:val="Normal"/>
              <w:bidi w:val="0"/>
              <w:jc w:val="both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zh-CN" w:bidi="ar-SA"/>
              </w:rPr>
              <w:t xml:space="preserve">3. О рассмотрении отчета о выполнении Плана мероприятий по повышению операционной эффективности и оптимизации расходов ПАО «ОГК-2» за </w:t>
            </w: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zh-CN" w:bidi="ar-SA"/>
              </w:rPr>
              <w:t xml:space="preserve">3 </w:t>
            </w: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zh-CN" w:bidi="ar-SA"/>
              </w:rPr>
              <w:t>мес</w:t>
            </w: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zh-CN" w:bidi="ar-SA"/>
              </w:rPr>
              <w:t>яца</w:t>
            </w: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zh-CN" w:bidi="ar-SA"/>
              </w:rPr>
              <w:t xml:space="preserve"> 2024 года.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0" w:right="57"/>
              <w:jc w:val="both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zh-CN" w:bidi="ar-SA"/>
              </w:rPr>
              <w:t>4. Об утверждении документов, определяющих порядок и срок раскрытия инсайдерской информации об Обществе, правила внутреннего контроля по предотвращению, выявлению и пресечению неправомерного использования инсайдерской информации и (или) манипулирования рынком, включающего определение условий совершения операций с финансовыми инструментами.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hanging="0" w:left="0" w:right="57"/>
              <w:jc w:val="both"/>
              <w:rPr>
                <w:rFonts w:ascii="Times New Roman" w:hAnsi="Times New Roman" w:eastAsia="Times New Roman" w:cs="Times New Roman"/>
                <w:b/>
                <w:bCs/>
                <w:kern w:val="0"/>
                <w:sz w:val="20"/>
                <w:szCs w:val="20"/>
                <w:lang w:val="ru-RU" w:eastAsia="zh-CN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sz w:val="20"/>
                <w:szCs w:val="20"/>
                <w:lang w:val="ru-RU" w:eastAsia="zh-CN" w:bidi="ar-SA"/>
              </w:rPr>
              <w:t>5. Об определении позиции Общества по голосованию его представителей в органах управления дочерних и зависимых обществ.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0632" w:type="dxa"/>
        <w:jc w:val="left"/>
        <w:tblInd w:w="-426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1230"/>
        <w:gridCol w:w="357"/>
        <w:gridCol w:w="384"/>
        <w:gridCol w:w="1317"/>
        <w:gridCol w:w="416"/>
        <w:gridCol w:w="307"/>
        <w:gridCol w:w="1209"/>
        <w:gridCol w:w="1338"/>
        <w:gridCol w:w="462"/>
        <w:gridCol w:w="3064"/>
        <w:gridCol w:w="547"/>
      </w:tblGrid>
      <w:tr>
        <w:trPr>
          <w:trHeight w:val="248" w:hRule="atLeast"/>
          <w:cantSplit w:val="true"/>
        </w:trPr>
        <w:tc>
          <w:tcPr>
            <w:tcW w:w="1063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/>
              <w:t>3. Подпись</w:t>
            </w:r>
          </w:p>
        </w:tc>
      </w:tr>
      <w:tr>
        <w:trPr>
          <w:trHeight w:val="859" w:hRule="atLeast"/>
          <w:cantSplit w:val="true"/>
        </w:trPr>
        <w:tc>
          <w:tcPr>
            <w:tcW w:w="5220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Spacing"/>
              <w:rPr/>
            </w:pPr>
            <w:r>
              <w:rPr>
                <w:b/>
                <w:szCs w:val="22"/>
              </w:rPr>
              <w:t xml:space="preserve">3.1. </w:t>
            </w:r>
            <w:r>
              <w:rPr>
                <w:rFonts w:eastAsia="Times New Roman" w:cs="Times New Roman"/>
                <w:b/>
                <w:color w:val="000000"/>
                <w:sz w:val="20"/>
              </w:rPr>
              <w:t>Заместитель управляющего директора по корпоративным и правовым вопросам, действующий на основании доверенности № 77/299-н/77-2022-1-1027 от 25.03.2022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jc w:val="right"/>
              <w:rPr>
                <w:b/>
                <w:szCs w:val="22"/>
              </w:rPr>
            </w:pPr>
            <w:r>
              <w:rPr>
                <w:b/>
                <w:szCs w:val="22"/>
              </w:rPr>
            </w:r>
          </w:p>
        </w:tc>
        <w:tc>
          <w:tcPr>
            <w:tcW w:w="3064" w:type="dxa"/>
            <w:tcBorders>
              <w:top w:val="single" w:sz="4" w:space="0" w:color="000000"/>
            </w:tcBorders>
            <w:vAlign w:val="bottom"/>
          </w:tcPr>
          <w:p>
            <w:pPr>
              <w:pStyle w:val="Normal"/>
              <w:jc w:val="right"/>
              <w:rPr/>
            </w:pPr>
            <w:r>
              <w:rPr>
                <w:b/>
                <w:szCs w:val="22"/>
              </w:rPr>
              <w:t>М.А. Чалый</w:t>
            </w:r>
          </w:p>
        </w:tc>
        <w:tc>
          <w:tcPr>
            <w:tcW w:w="547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280" w:hRule="exact"/>
          <w:cantSplit w:val="true"/>
        </w:trPr>
        <w:tc>
          <w:tcPr>
            <w:tcW w:w="5220" w:type="dxa"/>
            <w:gridSpan w:val="7"/>
            <w:tcBorders>
              <w:left w:val="single" w:sz="4" w:space="0" w:color="000000"/>
            </w:tcBorders>
          </w:tcPr>
          <w:p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800" w:type="dxa"/>
            <w:gridSpan w:val="2"/>
            <w:tcBorders/>
          </w:tcPr>
          <w:p>
            <w:pPr>
              <w:pStyle w:val="Normal"/>
              <w:jc w:val="center"/>
              <w:rPr/>
            </w:pPr>
            <w:r>
              <w:rPr/>
              <w:t>(подпись)</w:t>
            </w:r>
          </w:p>
        </w:tc>
        <w:tc>
          <w:tcPr>
            <w:tcW w:w="3064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47" w:type="dxa"/>
            <w:tcBorders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cantSplit w:val="true"/>
        </w:trPr>
        <w:tc>
          <w:tcPr>
            <w:tcW w:w="1230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3.2. Дата      “</w:t>
            </w:r>
          </w:p>
        </w:tc>
        <w:tc>
          <w:tcPr>
            <w:tcW w:w="35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jc w:val="center"/>
              <w:rPr/>
            </w:pPr>
            <w:r>
              <w:rPr/>
              <w:t>1</w:t>
            </w:r>
            <w:r>
              <w:rPr/>
              <w:t>2</w:t>
            </w:r>
          </w:p>
        </w:tc>
        <w:tc>
          <w:tcPr>
            <w:tcW w:w="384" w:type="dxa"/>
            <w:tcBorders/>
            <w:vAlign w:val="bottom"/>
          </w:tcPr>
          <w:p>
            <w:pPr>
              <w:pStyle w:val="Normal"/>
              <w:rPr/>
            </w:pPr>
            <w:r>
              <w:rPr/>
              <w:t>”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 xml:space="preserve">  </w:t>
            </w:r>
            <w:r>
              <w:rPr/>
              <w:t>июля</w:t>
            </w:r>
          </w:p>
        </w:tc>
        <w:tc>
          <w:tcPr>
            <w:tcW w:w="416" w:type="dxa"/>
            <w:tcBorders/>
            <w:vAlign w:val="bottom"/>
          </w:tcPr>
          <w:p>
            <w:pPr>
              <w:pStyle w:val="Normal"/>
              <w:jc w:val="right"/>
              <w:rPr/>
            </w:pPr>
            <w:r>
              <w:rPr/>
              <w:t>20</w:t>
            </w:r>
          </w:p>
        </w:tc>
        <w:tc>
          <w:tcPr>
            <w:tcW w:w="307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  <w:t>24</w:t>
            </w:r>
          </w:p>
        </w:tc>
        <w:tc>
          <w:tcPr>
            <w:tcW w:w="1209" w:type="dxa"/>
            <w:tcBorders/>
            <w:vAlign w:val="bottom"/>
          </w:tcPr>
          <w:p>
            <w:pPr>
              <w:pStyle w:val="Normal"/>
              <w:rPr/>
            </w:pPr>
            <w:r>
              <w:rPr/>
              <w:t>г.</w:t>
            </w:r>
          </w:p>
        </w:tc>
        <w:tc>
          <w:tcPr>
            <w:tcW w:w="1338" w:type="dxa"/>
            <w:tcBorders/>
            <w:vAlign w:val="bottom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4073" w:type="dxa"/>
            <w:gridSpan w:val="3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5220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073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sectPr>
      <w:headerReference w:type="default" r:id="rId4"/>
      <w:headerReference w:type="first" r:id="rId5"/>
      <w:type w:val="nextPage"/>
      <w:pgSz w:w="11906" w:h="16838"/>
      <w:pgMar w:left="851" w:right="567" w:gutter="0" w:header="284" w:top="341" w:footer="0" w:bottom="142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s">
          <w:drawing>
            <wp:anchor behindDoc="1" distT="0" distB="0" distL="109220" distR="109220" simplePos="0" locked="0" layoutInCell="0" allowOverlap="1" relativeHeight="2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78740" cy="20320"/>
              <wp:effectExtent l="5080" t="5080" r="5080" b="5080"/>
              <wp:wrapSquare wrapText="bothSides"/>
              <wp:docPr id="1" name="_x005F_x0000_s10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40" cy="2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_x005F_x0000_s1025" path="m0,0l-2147483645,0l-2147483645,-2147483646l0,-2147483646xe" fillcolor="white" stroked="t" o:allowincell="f" style="position:absolute;margin-left:0pt;margin-top:0.05pt;width:6.15pt;height:1.55pt;mso-wrap-style:none;v-text-anchor:middle">
              <v:fill o:detectmouseclick="t" type="solid" color2="black"/>
              <v:stroke color="black" weight="9360" joinstyle="round" endcap="flat"/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WenQuanYi Micro Hei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3z0">
    <w:name w:val="WW8Num3z0"/>
    <w:qFormat/>
    <w:rPr/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6z1">
    <w:name w:val="WW8Num6z1"/>
    <w:qFormat/>
    <w:rPr/>
  </w:style>
  <w:style w:type="character" w:styleId="WW8Num7z1">
    <w:name w:val="WW8Num7z1"/>
    <w:qFormat/>
    <w:rPr>
      <w:b w:val="false"/>
    </w:rPr>
  </w:style>
  <w:style w:type="character" w:styleId="WW8Num8z0">
    <w:name w:val="WW8Num8z0"/>
    <w:qFormat/>
    <w:rPr/>
  </w:style>
  <w:style w:type="character" w:styleId="WW8Num11z0">
    <w:name w:val="WW8Num11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>
      <w:b w:val="false"/>
    </w:rPr>
  </w:style>
  <w:style w:type="character" w:styleId="WW8Num17z2">
    <w:name w:val="WW8Num17z2"/>
    <w:qFormat/>
    <w:rPr/>
  </w:style>
  <w:style w:type="character" w:styleId="WW8Num18z0">
    <w:name w:val="WW8Num18z0"/>
    <w:qFormat/>
    <w:rPr>
      <w:color w:val="000000"/>
    </w:rPr>
  </w:style>
  <w:style w:type="character" w:styleId="WW8Num20z0">
    <w:name w:val="WW8Num20z0"/>
    <w:qFormat/>
    <w:rPr/>
  </w:style>
  <w:style w:type="character" w:styleId="WW8Num23z0">
    <w:name w:val="WW8Num23z0"/>
    <w:qFormat/>
    <w:rPr>
      <w:b w:val="false"/>
    </w:rPr>
  </w:style>
  <w:style w:type="character" w:styleId="WW8Num23z1">
    <w:name w:val="WW8Num23z1"/>
    <w:qFormat/>
    <w:rPr>
      <w:b w:val="false"/>
      <w:sz w:val="26"/>
      <w:szCs w:val="26"/>
    </w:rPr>
  </w:style>
  <w:style w:type="character" w:styleId="WW8Num23z2">
    <w:name w:val="WW8Num23z2"/>
    <w:qFormat/>
    <w:rPr/>
  </w:style>
  <w:style w:type="character" w:styleId="WW8Num24z0">
    <w:name w:val="WW8Num24z0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>
      <w:b w:val="false"/>
    </w:rPr>
  </w:style>
  <w:style w:type="character" w:styleId="WW8Num26z0">
    <w:name w:val="WW8Num26z0"/>
    <w:qFormat/>
    <w:rPr/>
  </w:style>
  <w:style w:type="character" w:styleId="WW8Num27z0">
    <w:name w:val="WW8Num27z0"/>
    <w:qFormat/>
    <w:rPr>
      <w:color w:val="000000"/>
    </w:rPr>
  </w:style>
  <w:style w:type="character" w:styleId="Style7">
    <w:name w:val="Основной шрифт абзаца"/>
    <w:qFormat/>
    <w:rPr/>
  </w:style>
  <w:style w:type="character" w:styleId="PageNumber">
    <w:name w:val="Page Number"/>
    <w:basedOn w:val="Style7"/>
    <w:rPr/>
  </w:style>
  <w:style w:type="character" w:styleId="Hyperlink">
    <w:name w:val="Hyperlink"/>
    <w:rPr>
      <w:color w:val="0000FF"/>
      <w:u w:val="single"/>
    </w:rPr>
  </w:style>
  <w:style w:type="character" w:styleId="2">
    <w:name w:val="Основной текст с отступом 2 Знак"/>
    <w:qFormat/>
    <w:rPr>
      <w:sz w:val="28"/>
      <w:szCs w:val="24"/>
    </w:rPr>
  </w:style>
  <w:style w:type="character" w:styleId="HTML">
    <w:name w:val="Стандартный HTML Знак"/>
    <w:qFormat/>
    <w:rPr>
      <w:rFonts w:ascii="Courier New" w:hAnsi="Courier New" w:cs="Courier New"/>
    </w:rPr>
  </w:style>
  <w:style w:type="character" w:styleId="Style8">
    <w:name w:val="Обычный (веб) Знак"/>
    <w:qFormat/>
    <w:rPr>
      <w:rFonts w:eastAsia="Calibri"/>
      <w:sz w:val="24"/>
      <w:szCs w:val="24"/>
      <w:lang w:val="en-GB"/>
    </w:rPr>
  </w:style>
  <w:style w:type="character" w:styleId="Strong">
    <w:name w:val="Strong"/>
    <w:qFormat/>
    <w:rPr>
      <w:b/>
      <w:bCs/>
    </w:rPr>
  </w:style>
  <w:style w:type="character" w:styleId="Style12ptBoldItalic">
    <w:name w:val="Style 12 pt Bold Italic"/>
    <w:qFormat/>
    <w:rPr>
      <w:rFonts w:ascii="Times New Roman" w:hAnsi="Times New Roman" w:cs="Times New Roman"/>
      <w:b/>
      <w:bCs/>
      <w:i/>
      <w:iCs/>
      <w:sz w:val="22"/>
    </w:rPr>
  </w:style>
  <w:style w:type="character" w:styleId="FollowedHyperlink">
    <w:name w:val="FollowedHyperlink"/>
    <w:rPr>
      <w:color w:val="954F72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>
    <w:name w:val="Символ нумерации"/>
    <w:qFormat/>
    <w:rPr/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WenQuanYi Micro Hei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2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0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WenQuanYi Micro Hei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1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Prilozhenie">
    <w:name w:val="prilozhenie"/>
    <w:basedOn w:val="Normal"/>
    <w:qFormat/>
    <w:pPr>
      <w:ind w:firstLine="709" w:left="0" w:right="0"/>
      <w:jc w:val="both"/>
    </w:pPr>
    <w:rPr>
      <w:sz w:val="24"/>
      <w:szCs w:val="24"/>
    </w:rPr>
  </w:style>
  <w:style w:type="paragraph" w:styleId="21">
    <w:name w:val="Основной текст с отступом 2"/>
    <w:basedOn w:val="Normal"/>
    <w:qFormat/>
    <w:pPr>
      <w:spacing w:lineRule="auto" w:line="480" w:before="0" w:after="120"/>
      <w:ind w:firstLine="709" w:left="283" w:right="0"/>
      <w:jc w:val="both"/>
    </w:pPr>
    <w:rPr>
      <w:sz w:val="28"/>
      <w:szCs w:val="24"/>
    </w:rPr>
  </w:style>
  <w:style w:type="paragraph" w:styleId="HTML1">
    <w:name w:val="Стандартный HTML"/>
    <w:basedOn w:val="Normal"/>
    <w:qFormat/>
    <w:pPr/>
    <w:rPr>
      <w:rFonts w:ascii="Courier New" w:hAnsi="Courier New" w:cs="Courier New"/>
    </w:rPr>
  </w:style>
  <w:style w:type="paragraph" w:styleId="ConsPlusNormal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Style14">
    <w:name w:val="Обычный (веб)"/>
    <w:basedOn w:val="Normal"/>
    <w:qFormat/>
    <w:pPr>
      <w:spacing w:before="280" w:after="280"/>
    </w:pPr>
    <w:rPr>
      <w:rFonts w:eastAsia="Calibri"/>
      <w:sz w:val="24"/>
      <w:szCs w:val="24"/>
      <w:lang w:val="en-GB"/>
    </w:rPr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paragraph" w:styleId="Style1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styleId="668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671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672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673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74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5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7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7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7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7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8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8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82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3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4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5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6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7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8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9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0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1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2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3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4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5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6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698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699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700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701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70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70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70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70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70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70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710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71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71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71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71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71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1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717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1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1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2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2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2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2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724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732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733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734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735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736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737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738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39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0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1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2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3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4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5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6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7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8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49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0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1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752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759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76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76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76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76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76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766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76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76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76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77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77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77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773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774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775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776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777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778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779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780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781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782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783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784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785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786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787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788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790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791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792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793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897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ogk2.ru/" TargetMode="External"/><Relationship Id="rId3" Type="http://schemas.openxmlformats.org/officeDocument/2006/relationships/hyperlink" Target="https://www.e-disclosure.ru/portal/company.aspx?id=7234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Application>LibreOffice/7.6.7.2$Linux_X86_64 LibreOffice_project/60$Build-2</Application>
  <AppVersion>15.0000</AppVersion>
  <Pages>1</Pages>
  <Words>288</Words>
  <Characters>2079</Characters>
  <CharactersWithSpaces>2337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2020-10-28T07:00:00Z</dcterms:created>
  <dc:creator>shamne.anna</dc:creator>
  <dc:description/>
  <dc:language>ru-RU</dc:language>
  <cp:lastModifiedBy/>
  <cp:lastPrinted>2024-07-12T11:10:30Z</cp:lastPrinted>
  <dcterms:modified xsi:type="dcterms:W3CDTF">2024-07-12T11:10:21Z</dcterms:modified>
  <cp:revision>153</cp:revision>
  <dc:subject/>
  <dc:title>Сообщение о существенном факте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