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rPr>
          <w:b/>
          <w:bCs/>
          <w:sz w:val="22"/>
          <w:szCs w:val="22"/>
        </w:rPr>
        <w:outlineLvl w:val="0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540"/>
        <w:jc w:val="center"/>
        <w:rPr>
          <w:b/>
          <w:bCs/>
          <w:sz w:val="22"/>
          <w:szCs w:val="22"/>
        </w:rPr>
        <w:outlineLvl w:val="0"/>
      </w:pPr>
      <w:r>
        <w:rPr>
          <w:rFonts w:eastAsia="Tempora LGC Uni"/>
          <w:b/>
          <w:bCs/>
          <w:sz w:val="22"/>
          <w:szCs w:val="22"/>
        </w:rPr>
        <w:t xml:space="preserve">Сообщение о существенном факте </w:t>
      </w:r>
      <w:r>
        <w:rPr>
          <w:b/>
          <w:bCs/>
          <w:sz w:val="22"/>
          <w:szCs w:val="22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rFonts w:eastAsia="Tempora LGC Uni"/>
          <w:b/>
          <w:bCs/>
          <w:sz w:val="22"/>
          <w:szCs w:val="22"/>
        </w:rPr>
        <w:t xml:space="preserve">«</w:t>
      </w:r>
      <w:r>
        <w:rPr>
          <w:rFonts w:eastAsia="Tempora LGC Uni"/>
          <w:b/>
          <w:sz w:val="22"/>
          <w:szCs w:val="22"/>
        </w:rPr>
        <w:t xml:space="preserve">О проведении заседания совета директоров эмитента и его повестке дня</w:t>
      </w:r>
      <w:r>
        <w:rPr>
          <w:rFonts w:eastAsia="Tempora LGC Uni"/>
          <w:b/>
          <w:bCs/>
          <w:sz w:val="22"/>
          <w:szCs w:val="22"/>
        </w:rPr>
        <w:t xml:space="preserve">»</w:t>
      </w:r>
      <w:r>
        <w:rPr>
          <w:b/>
          <w:bCs/>
          <w:sz w:val="22"/>
          <w:szCs w:val="22"/>
        </w:rPr>
      </w:r>
    </w:p>
    <w:p>
      <w:pPr>
        <w:ind w:firstLine="540"/>
        <w:jc w:val="center"/>
        <w:rPr>
          <w:b/>
          <w:bCs/>
          <w:sz w:val="22"/>
          <w:szCs w:val="22"/>
        </w:rPr>
        <w:outlineLvl w:val="0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5274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Tempora LGC Uni"/>
                <w:sz w:val="22"/>
                <w:szCs w:val="22"/>
              </w:rPr>
              <w:t xml:space="preserve">1. Общие сведения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Tempora LGC Uni"/>
                <w:sz w:val="22"/>
                <w:szCs w:val="22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sz w:val="22"/>
                <w:szCs w:val="22"/>
              </w:rPr>
            </w:pPr>
            <w:r>
              <w:rPr>
                <w:rFonts w:eastAsia="Tempora LGC Uni"/>
                <w:b/>
                <w:bCs/>
                <w:sz w:val="22"/>
                <w:szCs w:val="22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eastAsia="Tempora LGC Uni"/>
                <w:sz w:val="22"/>
                <w:szCs w:val="22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sz w:val="22"/>
                <w:szCs w:val="22"/>
              </w:rPr>
            </w:pPr>
            <w:r>
              <w:rPr>
                <w:rFonts w:eastAsia="Tempora LGC Uni"/>
                <w:b/>
                <w:bCs/>
                <w:sz w:val="22"/>
                <w:szCs w:val="22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eastAsia="Tempora LGC Uni"/>
                <w:sz w:val="22"/>
                <w:szCs w:val="22"/>
              </w:rPr>
              <w:t xml:space="preserve">1.3. Основной государственный регистрационный номер (ОГРН) эмитента (при наличии)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sz w:val="22"/>
                <w:szCs w:val="22"/>
              </w:rPr>
            </w:pPr>
            <w:r>
              <w:rPr>
                <w:rFonts w:eastAsia="Tempora LGC Uni"/>
                <w:b/>
                <w:bCs/>
                <w:sz w:val="22"/>
                <w:szCs w:val="22"/>
              </w:rPr>
              <w:t xml:space="preserve">1052600002180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eastAsia="Tempora LGC Uni"/>
                <w:sz w:val="22"/>
                <w:szCs w:val="22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sz w:val="22"/>
                <w:szCs w:val="22"/>
              </w:rPr>
            </w:pPr>
            <w:r>
              <w:rPr>
                <w:rFonts w:eastAsia="Tempora LGC Uni"/>
                <w:b/>
                <w:bCs/>
                <w:sz w:val="22"/>
                <w:szCs w:val="22"/>
              </w:rPr>
              <w:t xml:space="preserve">2607018122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eastAsia="Tempora LGC Uni"/>
                <w:sz w:val="22"/>
                <w:szCs w:val="22"/>
              </w:rPr>
              <w:t xml:space="preserve">1.5. Уникальный код эмитента, присвоенный Банком России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sz w:val="22"/>
                <w:szCs w:val="22"/>
              </w:rPr>
            </w:pPr>
            <w:r>
              <w:rPr>
                <w:rFonts w:eastAsia="Tempora LGC Uni"/>
                <w:b/>
                <w:bCs/>
                <w:sz w:val="22"/>
                <w:szCs w:val="22"/>
              </w:rPr>
              <w:t xml:space="preserve">65105-D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Tempora LGC Uni"/>
                <w:sz w:val="22"/>
                <w:szCs w:val="22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57"/>
              <w:rPr>
                <w:b/>
                <w:bCs/>
                <w:sz w:val="22"/>
                <w:szCs w:val="22"/>
              </w:rPr>
            </w:pPr>
            <w:r/>
            <w:hyperlink r:id="rId9" w:tooltip="https://www.ogk2.ru/" w:history="1">
              <w:r>
                <w:rPr>
                  <w:rStyle w:val="719"/>
                  <w:rFonts w:eastAsia="Tempora LGC Uni"/>
                  <w:b/>
                  <w:bCs/>
                  <w:color w:val="auto"/>
                  <w:sz w:val="22"/>
                  <w:szCs w:val="22"/>
                </w:rPr>
                <w:t xml:space="preserve">https://www.ogk2.ru</w:t>
              </w:r>
            </w:hyperlink>
            <w:r/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85"/>
              <w:rPr>
                <w:b/>
                <w:bCs/>
                <w:sz w:val="22"/>
                <w:szCs w:val="22"/>
              </w:rPr>
            </w:pPr>
            <w:r/>
            <w:hyperlink r:id="rId10" w:tooltip="https://www.e-disclosure.ru/portal/company.aspx?id=7234" w:history="1">
              <w:r>
                <w:rPr>
                  <w:rStyle w:val="719"/>
                  <w:rFonts w:eastAsia="Tempora LGC Uni"/>
                  <w:b/>
                  <w:bCs/>
                  <w:color w:val="auto"/>
                  <w:sz w:val="22"/>
                  <w:szCs w:val="22"/>
                </w:rPr>
                <w:t xml:space="preserve">https://www.e-disclosure.ru/portal/company.aspx?id=7234</w:t>
              </w:r>
            </w:hyperlink>
            <w:r/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eastAsia="Tempora LGC Uni"/>
                <w:sz w:val="22"/>
                <w:szCs w:val="22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85"/>
              <w:rPr>
                <w:b/>
                <w:bCs/>
                <w:sz w:val="22"/>
                <w:szCs w:val="22"/>
              </w:rPr>
            </w:pPr>
            <w:r>
              <w:rPr>
                <w:rFonts w:eastAsia="Tempora LGC Uni"/>
                <w:b/>
                <w:bCs/>
                <w:sz w:val="22"/>
                <w:szCs w:val="22"/>
              </w:rPr>
              <w:t xml:space="preserve">14.0</w:t>
            </w:r>
            <w:r>
              <w:rPr>
                <w:rFonts w:eastAsia="Tempora LGC Uni"/>
                <w:b/>
                <w:bCs/>
                <w:sz w:val="22"/>
                <w:szCs w:val="22"/>
              </w:rPr>
              <w:t xml:space="preserve">5</w:t>
            </w:r>
            <w:r>
              <w:rPr>
                <w:rFonts w:eastAsia="Tempora LGC Uni"/>
                <w:b/>
                <w:bCs/>
                <w:sz w:val="22"/>
                <w:szCs w:val="22"/>
              </w:rPr>
              <w:t xml:space="preserve">.2026</w:t>
            </w: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0234" w:type="dxa"/>
        <w:tblInd w:w="-4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Tempora LGC Uni"/>
                <w:sz w:val="22"/>
                <w:szCs w:val="22"/>
              </w:rPr>
              <w:t xml:space="preserve">2. Содержание сообщения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4" w:type="dxa"/>
            <w:textDirection w:val="lrTb"/>
            <w:noWrap w:val="false"/>
          </w:tcPr>
          <w:p>
            <w:pPr>
              <w:ind w:left="113" w:right="11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Tempora LGC Uni"/>
                <w:color w:val="000000"/>
                <w:sz w:val="22"/>
                <w:szCs w:val="22"/>
              </w:rPr>
              <w:t xml:space="preserve">2.1. Дата принятия Председателем совета директоров эмитента решения о проведении заседания совета директоров эмитента: 14</w:t>
            </w:r>
            <w:r>
              <w:rPr>
                <w:rFonts w:eastAsia="Tempora LGC Uni"/>
                <w:color w:val="000000"/>
                <w:sz w:val="22"/>
                <w:szCs w:val="22"/>
              </w:rPr>
              <w:t xml:space="preserve">.0</w:t>
            </w:r>
            <w:r>
              <w:rPr>
                <w:rFonts w:eastAsia="Tempora LGC Uni"/>
                <w:color w:val="000000"/>
                <w:sz w:val="22"/>
                <w:szCs w:val="22"/>
              </w:rPr>
              <w:t xml:space="preserve">5</w:t>
            </w:r>
            <w:r>
              <w:rPr>
                <w:rFonts w:eastAsia="Tempora LGC Uni"/>
                <w:color w:val="000000"/>
                <w:sz w:val="22"/>
                <w:szCs w:val="22"/>
              </w:rPr>
              <w:t xml:space="preserve">.2026</w:t>
            </w:r>
            <w:r>
              <w:rPr>
                <w:rFonts w:eastAsia="Tempora LGC Uni"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13" w:right="113"/>
              <w:jc w:val="both"/>
              <w:rPr>
                <w:rFonts w:eastAsia="Tempora LGC Uni"/>
                <w:bCs/>
                <w:color w:val="000000"/>
                <w:sz w:val="22"/>
                <w:szCs w:val="22"/>
              </w:rPr>
            </w:pPr>
            <w:r>
              <w:rPr>
                <w:rFonts w:eastAsia="Tempora LGC Uni"/>
                <w:color w:val="000000"/>
                <w:sz w:val="22"/>
                <w:szCs w:val="22"/>
              </w:rPr>
              <w:t xml:space="preserve">2.2. Дата проведения заседания совета директоров эмитента: </w:t>
            </w:r>
            <w:r>
              <w:rPr>
                <w:rFonts w:eastAsia="Tempora LGC Uni"/>
                <w:color w:val="000000"/>
                <w:sz w:val="22"/>
                <w:szCs w:val="22"/>
              </w:rPr>
              <w:t xml:space="preserve">18</w:t>
            </w:r>
            <w:r>
              <w:rPr>
                <w:rFonts w:eastAsia="Tempora LGC Uni"/>
                <w:color w:val="000000"/>
                <w:sz w:val="22"/>
                <w:szCs w:val="22"/>
              </w:rPr>
              <w:t xml:space="preserve">.0</w:t>
            </w:r>
            <w:r>
              <w:rPr>
                <w:rFonts w:eastAsia="Tempora LGC Uni"/>
                <w:color w:val="000000"/>
                <w:sz w:val="22"/>
                <w:szCs w:val="22"/>
              </w:rPr>
              <w:t xml:space="preserve">5</w:t>
            </w:r>
            <w:r>
              <w:rPr>
                <w:rFonts w:eastAsia="Tempora LGC Uni"/>
                <w:color w:val="000000"/>
                <w:sz w:val="22"/>
                <w:szCs w:val="22"/>
              </w:rPr>
              <w:t xml:space="preserve">.2026</w:t>
            </w:r>
            <w:r>
              <w:rPr>
                <w:rFonts w:eastAsia="Tempora LGC Uni"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eastAsia="Tempora LGC Uni"/>
                <w:bCs/>
                <w:color w:val="000000"/>
                <w:sz w:val="22"/>
                <w:szCs w:val="22"/>
              </w:rPr>
            </w:r>
          </w:p>
          <w:p>
            <w:pPr>
              <w:ind w:left="113" w:right="113"/>
              <w:jc w:val="both"/>
              <w:rPr>
                <w:rFonts w:eastAsia="Tempora LGC Un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Tempora LGC Uni"/>
                <w:color w:val="000000"/>
                <w:sz w:val="22"/>
                <w:szCs w:val="22"/>
              </w:rPr>
              <w:t xml:space="preserve">2.3.  Повестка дня заседания совета директоров эмитента:</w:t>
            </w:r>
            <w:r>
              <w:rPr>
                <w:rFonts w:eastAsia="Tempora LGC Uni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91"/>
              <w:numPr>
                <w:ilvl w:val="0"/>
                <w:numId w:val="5"/>
              </w:numPr>
              <w:ind w:left="142" w:right="0" w:firstLine="0"/>
              <w:spacing w:before="20" w:after="20"/>
              <w:tabs>
                <w:tab w:val="left" w:pos="425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 рассмотрении вопросов, связанных с подготовкой  к заседанию и принятием решений Общим собранием акционеров.</w:t>
            </w:r>
            <w:r>
              <w:rPr>
                <w:rFonts w:eastAsia="Tempora LGC Uni"/>
                <w:b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891"/>
              <w:numPr>
                <w:ilvl w:val="0"/>
                <w:numId w:val="5"/>
              </w:numPr>
              <w:ind w:left="142" w:right="0" w:firstLine="0"/>
              <w:spacing w:before="20" w:after="20"/>
              <w:tabs>
                <w:tab w:val="left" w:pos="425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</w:rPr>
              <w:t xml:space="preserve">О рекомендациях и предложениях Общему собранию акционеров ПАО «ОГК-2» по вопросам повестки дня Общего собрания акционеров </w:t>
            </w:r>
            <w:r>
              <w:rPr>
                <w:b/>
                <w:bCs/>
                <w:sz w:val="22"/>
                <w:szCs w:val="22"/>
              </w:rPr>
              <w:t xml:space="preserve">Общества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891"/>
              <w:numPr>
                <w:ilvl w:val="0"/>
                <w:numId w:val="5"/>
              </w:numPr>
              <w:ind w:left="142" w:right="0" w:firstLine="0"/>
              <w:spacing w:before="20" w:after="20"/>
              <w:tabs>
                <w:tab w:val="left" w:pos="425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Об утверждении отчета о заключенных Обществом в 2025 году сделках, в совершении которых имелась заинтересованность.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891"/>
              <w:numPr>
                <w:ilvl w:val="0"/>
                <w:numId w:val="5"/>
              </w:numPr>
              <w:ind w:left="142" w:right="0" w:firstLine="0"/>
              <w:spacing w:before="20" w:after="20"/>
              <w:tabs>
                <w:tab w:val="left" w:pos="425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О предварительном утверждении годового отчета Общества за 2025 год.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891"/>
              <w:numPr>
                <w:ilvl w:val="0"/>
                <w:numId w:val="5"/>
              </w:numPr>
              <w:ind w:left="142" w:right="0" w:firstLine="0"/>
              <w:spacing w:before="20" w:after="20"/>
              <w:tabs>
                <w:tab w:val="left" w:pos="425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О рассмотрении результатов оценки системы управления рисками и внутреннего контроля Общества.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891"/>
              <w:ind w:left="142" w:right="0" w:firstLine="0"/>
              <w:spacing w:before="20" w:after="20"/>
              <w:tabs>
                <w:tab w:val="left" w:pos="425" w:leader="none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2.4. Идентификационные признаки ценных бумаг эмитента: акции обыкновенные, государственный регистрационный номер 1-02-65105-D от 19.04.2007, международный код (номер) идентификации ценных бумаг (ISIN): RU000А0JNG55, международный код классификации финансовых инструментов (CFI): ESVXFR.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</w:tr>
    </w:tbl>
    <w:p>
      <w:pPr>
        <w:ind w:left="57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Tempora LGC Uni"/>
                <w:sz w:val="22"/>
                <w:szCs w:val="22"/>
              </w:rPr>
              <w:t xml:space="preserve">3. Подпись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pStyle w:val="733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empora LGC Uni" w:cs="Times New Roman"/>
                <w:b/>
                <w:sz w:val="22"/>
                <w:szCs w:val="22"/>
              </w:rPr>
              <w:t xml:space="preserve">3.1. </w:t>
            </w:r>
            <w:r>
              <w:rPr>
                <w:rFonts w:eastAsia="Tempora LGC Uni" w:cs="Times New Roman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№78/362-н/78-2025-3-1278 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</w:r>
          </w:p>
          <w:p>
            <w:pPr>
              <w:pStyle w:val="733"/>
              <w:rPr>
                <w:rFonts w:cs="Times New Roman"/>
                <w:sz w:val="22"/>
                <w:szCs w:val="22"/>
              </w:rPr>
            </w:pPr>
            <w:r>
              <w:rPr>
                <w:rFonts w:eastAsia="Tempora LGC Uni" w:cs="Times New Roman"/>
                <w:b/>
                <w:color w:val="000000"/>
                <w:sz w:val="22"/>
                <w:szCs w:val="22"/>
              </w:rPr>
              <w:t xml:space="preserve">от 10.12.2025</w:t>
            </w: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eastAsia="Tempora LGC Uni"/>
                <w:b/>
                <w:sz w:val="22"/>
                <w:szCs w:val="22"/>
              </w:rPr>
              <w:t xml:space="preserve">Е.Н. Егорова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50" w:type="dxa"/>
            <w:vAlign w:val="bottom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Tempora LGC Uni"/>
                <w:sz w:val="22"/>
                <w:szCs w:val="22"/>
              </w:rPr>
              <w:t xml:space="preserve">(подпись)</w:t>
            </w:r>
            <w:r>
              <w:rPr>
                <w:sz w:val="22"/>
                <w:szCs w:val="22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15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234"/>
        </w:trPr>
        <w:tc>
          <w:tcPr>
            <w:tcBorders>
              <w:left w:val="single" w:color="000000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Tempora LGC Uni"/>
                <w:sz w:val="22"/>
                <w:szCs w:val="22"/>
              </w:rPr>
              <w:t xml:space="preserve">3.2. Дата    “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5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</w:p>
        </w:tc>
        <w:tc>
          <w:tcPr>
            <w:tcW w:w="384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Tempora LGC Uni"/>
                <w:sz w:val="22"/>
                <w:szCs w:val="22"/>
              </w:rPr>
              <w:t xml:space="preserve">”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Tempora LGC Uni"/>
                <w:sz w:val="22"/>
                <w:szCs w:val="22"/>
              </w:rPr>
              <w:t xml:space="preserve"> </w:t>
            </w:r>
            <w:r>
              <w:rPr>
                <w:rFonts w:eastAsia="Tempora LGC Uni"/>
                <w:sz w:val="22"/>
                <w:szCs w:val="22"/>
              </w:rPr>
              <w:t xml:space="preserve">мая</w:t>
            </w:r>
            <w:r>
              <w:rPr>
                <w:sz w:val="22"/>
                <w:szCs w:val="22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eastAsia="Tempora LGC Uni"/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Tempora LGC Uni"/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3684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851" w:right="851" w:bottom="851" w:left="1701" w:header="28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ahoma">
    <w:panose1 w:val="020B0606040504020204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WenQuanYi Micro Hei">
    <w:panose1 w:val="020B0604020202020204"/>
  </w:font>
  <w:font w:name="Courier New">
    <w:panose1 w:val="02070409020205020404"/>
  </w:font>
  <w:font w:name="Lohit Devanagari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9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1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3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5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7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9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1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33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9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2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9">
    <w:name w:val="Caption Char"/>
    <w:basedOn w:val="671"/>
    <w:link w:val="730"/>
    <w:uiPriority w:val="35"/>
    <w:rPr>
      <w:b/>
      <w:bCs/>
      <w:color w:val="4f81bd" w:themeColor="accent1"/>
      <w:sz w:val="18"/>
      <w:szCs w:val="18"/>
    </w:rPr>
  </w:style>
  <w:style w:type="paragraph" w:styleId="661" w:default="1">
    <w:name w:val="Normal"/>
    <w:qFormat/>
    <w:rPr>
      <w:rFonts w:eastAsia="Times New Roman" w:cs="Times New Roman"/>
      <w:lang w:bidi="ar-SA"/>
    </w:rPr>
  </w:style>
  <w:style w:type="paragraph" w:styleId="662">
    <w:name w:val="Heading 1"/>
    <w:basedOn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3">
    <w:name w:val="Heading 2"/>
    <w:basedOn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4">
    <w:name w:val="Heading 3"/>
    <w:basedOn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5">
    <w:name w:val="Heading 4"/>
    <w:basedOn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6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6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6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 w:default="1">
    <w:name w:val="Default Paragraph Font"/>
    <w:uiPriority w:val="1"/>
    <w:unhideWhenUsed/>
  </w:style>
  <w:style w:type="table" w:styleId="6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character" w:styleId="674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5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76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7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8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9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0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1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2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3" w:customStyle="1">
    <w:name w:val="Title Char"/>
    <w:uiPriority w:val="10"/>
    <w:qFormat/>
    <w:rPr>
      <w:sz w:val="48"/>
      <w:szCs w:val="48"/>
    </w:rPr>
  </w:style>
  <w:style w:type="character" w:styleId="684" w:customStyle="1">
    <w:name w:val="Subtitle Char"/>
    <w:uiPriority w:val="11"/>
    <w:qFormat/>
    <w:rPr>
      <w:sz w:val="24"/>
      <w:szCs w:val="24"/>
    </w:rPr>
  </w:style>
  <w:style w:type="character" w:styleId="685" w:customStyle="1">
    <w:name w:val="Quote Char"/>
    <w:uiPriority w:val="29"/>
    <w:qFormat/>
    <w:rPr>
      <w:i/>
    </w:rPr>
  </w:style>
  <w:style w:type="character" w:styleId="686" w:customStyle="1">
    <w:name w:val="Intense Quote Char"/>
    <w:uiPriority w:val="30"/>
    <w:qFormat/>
    <w:rPr>
      <w:i/>
    </w:rPr>
  </w:style>
  <w:style w:type="character" w:styleId="687" w:customStyle="1">
    <w:name w:val="Header Char"/>
    <w:uiPriority w:val="99"/>
    <w:qFormat/>
  </w:style>
  <w:style w:type="character" w:styleId="688" w:customStyle="1">
    <w:name w:val="Footer Char"/>
    <w:uiPriority w:val="99"/>
    <w:qFormat/>
  </w:style>
  <w:style w:type="character" w:styleId="689" w:customStyle="1">
    <w:name w:val="Название объекта Знак"/>
    <w:link w:val="730"/>
    <w:uiPriority w:val="99"/>
    <w:qFormat/>
  </w:style>
  <w:style w:type="character" w:styleId="690" w:customStyle="1">
    <w:name w:val="Footnote Text Char"/>
    <w:uiPriority w:val="99"/>
    <w:qFormat/>
    <w:rPr>
      <w:sz w:val="18"/>
    </w:rPr>
  </w:style>
  <w:style w:type="character" w:styleId="691" w:customStyle="1">
    <w:name w:val="Символ сноски"/>
    <w:uiPriority w:val="99"/>
    <w:unhideWhenUsed/>
    <w:qFormat/>
    <w:rPr>
      <w:vertAlign w:val="superscript"/>
    </w:rPr>
  </w:style>
  <w:style w:type="character" w:styleId="692">
    <w:name w:val="footnote reference"/>
    <w:rPr>
      <w:vertAlign w:val="superscript"/>
    </w:rPr>
  </w:style>
  <w:style w:type="character" w:styleId="693" w:customStyle="1">
    <w:name w:val="Endnote Text Char"/>
    <w:uiPriority w:val="99"/>
    <w:qFormat/>
    <w:rPr>
      <w:sz w:val="20"/>
    </w:rPr>
  </w:style>
  <w:style w:type="character" w:styleId="694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5">
    <w:name w:val="endnote reference"/>
    <w:rPr>
      <w:vertAlign w:val="superscript"/>
    </w:rPr>
  </w:style>
  <w:style w:type="character" w:styleId="696" w:customStyle="1">
    <w:name w:val="WW8Num3z0"/>
    <w:qFormat/>
  </w:style>
  <w:style w:type="character" w:styleId="697" w:customStyle="1">
    <w:name w:val="WW8Num6z0"/>
    <w:qFormat/>
    <w:rPr>
      <w:rFonts w:ascii="Times New Roman" w:hAnsi="Times New Roman" w:eastAsia="Times New Roman" w:cs="Times New Roman"/>
    </w:rPr>
  </w:style>
  <w:style w:type="character" w:styleId="698" w:customStyle="1">
    <w:name w:val="WW8Num6z1"/>
    <w:qFormat/>
  </w:style>
  <w:style w:type="character" w:styleId="699" w:customStyle="1">
    <w:name w:val="WW8Num7z1"/>
    <w:qFormat/>
  </w:style>
  <w:style w:type="character" w:styleId="700" w:customStyle="1">
    <w:name w:val="WW8Num8z0"/>
    <w:qFormat/>
  </w:style>
  <w:style w:type="character" w:styleId="701" w:customStyle="1">
    <w:name w:val="WW8Num11z0"/>
    <w:qFormat/>
  </w:style>
  <w:style w:type="character" w:styleId="702" w:customStyle="1">
    <w:name w:val="WW8Num13z0"/>
    <w:qFormat/>
  </w:style>
  <w:style w:type="character" w:styleId="703" w:customStyle="1">
    <w:name w:val="WW8Num14z0"/>
    <w:qFormat/>
  </w:style>
  <w:style w:type="character" w:styleId="704" w:customStyle="1">
    <w:name w:val="WW8Num15z0"/>
    <w:qFormat/>
  </w:style>
  <w:style w:type="character" w:styleId="705" w:customStyle="1">
    <w:name w:val="WW8Num16z0"/>
    <w:qFormat/>
  </w:style>
  <w:style w:type="character" w:styleId="706" w:customStyle="1">
    <w:name w:val="WW8Num17z0"/>
    <w:qFormat/>
  </w:style>
  <w:style w:type="character" w:styleId="707" w:customStyle="1">
    <w:name w:val="WW8Num17z2"/>
    <w:qFormat/>
  </w:style>
  <w:style w:type="character" w:styleId="708" w:customStyle="1">
    <w:name w:val="WW8Num18z0"/>
    <w:qFormat/>
    <w:rPr>
      <w:color w:val="000000"/>
    </w:rPr>
  </w:style>
  <w:style w:type="character" w:styleId="709" w:customStyle="1">
    <w:name w:val="WW8Num20z0"/>
    <w:qFormat/>
  </w:style>
  <w:style w:type="character" w:styleId="710" w:customStyle="1">
    <w:name w:val="WW8Num23z0"/>
    <w:qFormat/>
  </w:style>
  <w:style w:type="character" w:styleId="711" w:customStyle="1">
    <w:name w:val="WW8Num23z1"/>
    <w:qFormat/>
    <w:rPr>
      <w:sz w:val="26"/>
      <w:szCs w:val="26"/>
    </w:rPr>
  </w:style>
  <w:style w:type="character" w:styleId="712" w:customStyle="1">
    <w:name w:val="WW8Num23z2"/>
    <w:qFormat/>
  </w:style>
  <w:style w:type="character" w:styleId="713" w:customStyle="1">
    <w:name w:val="WW8Num24z0"/>
    <w:qFormat/>
  </w:style>
  <w:style w:type="character" w:styleId="714" w:customStyle="1">
    <w:name w:val="WW8Num25z0"/>
    <w:qFormat/>
  </w:style>
  <w:style w:type="character" w:styleId="715" w:customStyle="1">
    <w:name w:val="WW8Num25z1"/>
    <w:qFormat/>
  </w:style>
  <w:style w:type="character" w:styleId="716" w:customStyle="1">
    <w:name w:val="WW8Num26z0"/>
    <w:qFormat/>
  </w:style>
  <w:style w:type="character" w:styleId="717" w:customStyle="1">
    <w:name w:val="WW8Num27z0"/>
    <w:qFormat/>
    <w:rPr>
      <w:color w:val="000000"/>
    </w:rPr>
  </w:style>
  <w:style w:type="character" w:styleId="718">
    <w:name w:val="page number"/>
    <w:basedOn w:val="671"/>
  </w:style>
  <w:style w:type="character" w:styleId="719">
    <w:name w:val="Hyperlink"/>
    <w:rPr>
      <w:color w:val="0000ff"/>
      <w:u w:val="single"/>
    </w:rPr>
  </w:style>
  <w:style w:type="character" w:styleId="720" w:customStyle="1">
    <w:name w:val="Основной текст с отступом 2 Знак"/>
    <w:qFormat/>
    <w:rPr>
      <w:sz w:val="28"/>
      <w:szCs w:val="24"/>
    </w:rPr>
  </w:style>
  <w:style w:type="character" w:styleId="721" w:customStyle="1">
    <w:name w:val="Стандартный HTML Знак"/>
    <w:qFormat/>
    <w:rPr>
      <w:rFonts w:ascii="Courier New" w:hAnsi="Courier New" w:cs="Courier New"/>
    </w:rPr>
  </w:style>
  <w:style w:type="character" w:styleId="722" w:customStyle="1">
    <w:name w:val="Обычный (веб) Знак"/>
    <w:qFormat/>
    <w:rPr>
      <w:rFonts w:eastAsia="Calibri"/>
      <w:sz w:val="24"/>
      <w:szCs w:val="24"/>
      <w:lang w:val="en-GB"/>
    </w:rPr>
  </w:style>
  <w:style w:type="character" w:styleId="723">
    <w:name w:val="Strong"/>
    <w:qFormat/>
    <w:rPr>
      <w:b/>
      <w:bCs/>
    </w:rPr>
  </w:style>
  <w:style w:type="character" w:styleId="724" w:customStyle="1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725">
    <w:name w:val="FollowedHyperlink"/>
    <w:rPr>
      <w:color w:val="954f72"/>
      <w:u w:val="single"/>
    </w:rPr>
  </w:style>
  <w:style w:type="character" w:styleId="726" w:customStyle="1">
    <w:name w:val="Символ нумерации"/>
    <w:qFormat/>
  </w:style>
  <w:style w:type="paragraph" w:styleId="727" w:customStyle="1">
    <w:name w:val="Заголовок"/>
    <w:basedOn w:val="661"/>
    <w:next w:val="728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728">
    <w:name w:val="Body Text"/>
    <w:basedOn w:val="661"/>
    <w:pPr>
      <w:spacing w:after="140" w:line="276" w:lineRule="auto"/>
    </w:pPr>
  </w:style>
  <w:style w:type="paragraph" w:styleId="729">
    <w:name w:val="List"/>
    <w:basedOn w:val="728"/>
    <w:rPr>
      <w:rFonts w:cs="Lohit Devanagari"/>
    </w:rPr>
  </w:style>
  <w:style w:type="paragraph" w:styleId="730">
    <w:name w:val="Caption"/>
    <w:basedOn w:val="661"/>
    <w:link w:val="689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31">
    <w:name w:val="index heading"/>
    <w:basedOn w:val="727"/>
  </w:style>
  <w:style w:type="paragraph" w:styleId="732">
    <w:name w:val="List Paragraph"/>
    <w:basedOn w:val="661"/>
    <w:uiPriority w:val="34"/>
    <w:qFormat/>
    <w:pPr>
      <w:contextualSpacing/>
      <w:ind w:left="720"/>
    </w:pPr>
  </w:style>
  <w:style w:type="paragraph" w:styleId="733">
    <w:name w:val="No Spacing"/>
    <w:uiPriority w:val="1"/>
    <w:qFormat/>
  </w:style>
  <w:style w:type="paragraph" w:styleId="734">
    <w:name w:val="Title"/>
    <w:basedOn w:val="66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5">
    <w:name w:val="Subtitle"/>
    <w:basedOn w:val="661"/>
    <w:uiPriority w:val="11"/>
    <w:qFormat/>
    <w:pPr>
      <w:spacing w:before="200" w:after="200"/>
    </w:pPr>
    <w:rPr>
      <w:sz w:val="24"/>
      <w:szCs w:val="24"/>
    </w:rPr>
  </w:style>
  <w:style w:type="paragraph" w:styleId="736">
    <w:name w:val="Quote"/>
    <w:basedOn w:val="661"/>
    <w:uiPriority w:val="29"/>
    <w:qFormat/>
    <w:pPr>
      <w:ind w:left="720" w:right="720"/>
    </w:pPr>
    <w:rPr>
      <w:i/>
    </w:rPr>
  </w:style>
  <w:style w:type="paragraph" w:styleId="737">
    <w:name w:val="Intense Quote"/>
    <w:basedOn w:val="66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8" w:customStyle="1">
    <w:name w:val="Колонтитул"/>
    <w:basedOn w:val="661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39">
    <w:name w:val="Footer"/>
    <w:basedOn w:val="661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40">
    <w:name w:val="footnote text"/>
    <w:basedOn w:val="661"/>
    <w:uiPriority w:val="99"/>
    <w:semiHidden/>
    <w:unhideWhenUsed/>
    <w:pPr>
      <w:spacing w:after="40"/>
    </w:pPr>
    <w:rPr>
      <w:sz w:val="18"/>
    </w:rPr>
  </w:style>
  <w:style w:type="paragraph" w:styleId="741">
    <w:name w:val="endnote text"/>
    <w:basedOn w:val="661"/>
    <w:uiPriority w:val="99"/>
    <w:semiHidden/>
    <w:unhideWhenUsed/>
  </w:style>
  <w:style w:type="paragraph" w:styleId="742">
    <w:name w:val="toc 1"/>
    <w:basedOn w:val="661"/>
    <w:uiPriority w:val="39"/>
    <w:unhideWhenUsed/>
    <w:pPr>
      <w:spacing w:after="57"/>
    </w:pPr>
  </w:style>
  <w:style w:type="paragraph" w:styleId="743">
    <w:name w:val="toc 2"/>
    <w:basedOn w:val="661"/>
    <w:uiPriority w:val="39"/>
    <w:unhideWhenUsed/>
    <w:pPr>
      <w:ind w:left="283"/>
      <w:spacing w:after="57"/>
    </w:pPr>
  </w:style>
  <w:style w:type="paragraph" w:styleId="744">
    <w:name w:val="toc 3"/>
    <w:basedOn w:val="661"/>
    <w:uiPriority w:val="39"/>
    <w:unhideWhenUsed/>
    <w:pPr>
      <w:ind w:left="567"/>
      <w:spacing w:after="57"/>
    </w:pPr>
  </w:style>
  <w:style w:type="paragraph" w:styleId="745">
    <w:name w:val="toc 4"/>
    <w:basedOn w:val="661"/>
    <w:uiPriority w:val="39"/>
    <w:unhideWhenUsed/>
    <w:pPr>
      <w:ind w:left="850"/>
      <w:spacing w:after="57"/>
    </w:pPr>
  </w:style>
  <w:style w:type="paragraph" w:styleId="746">
    <w:name w:val="toc 5"/>
    <w:basedOn w:val="661"/>
    <w:uiPriority w:val="39"/>
    <w:unhideWhenUsed/>
    <w:pPr>
      <w:ind w:left="1134"/>
      <w:spacing w:after="57"/>
    </w:pPr>
  </w:style>
  <w:style w:type="paragraph" w:styleId="747">
    <w:name w:val="toc 6"/>
    <w:basedOn w:val="661"/>
    <w:uiPriority w:val="39"/>
    <w:unhideWhenUsed/>
    <w:pPr>
      <w:ind w:left="1417"/>
      <w:spacing w:after="57"/>
    </w:pPr>
  </w:style>
  <w:style w:type="paragraph" w:styleId="748">
    <w:name w:val="toc 7"/>
    <w:basedOn w:val="661"/>
    <w:uiPriority w:val="39"/>
    <w:unhideWhenUsed/>
    <w:pPr>
      <w:ind w:left="1701"/>
      <w:spacing w:after="57"/>
    </w:pPr>
  </w:style>
  <w:style w:type="paragraph" w:styleId="749">
    <w:name w:val="toc 8"/>
    <w:basedOn w:val="661"/>
    <w:uiPriority w:val="39"/>
    <w:unhideWhenUsed/>
    <w:pPr>
      <w:ind w:left="1984"/>
      <w:spacing w:after="57"/>
    </w:pPr>
  </w:style>
  <w:style w:type="paragraph" w:styleId="750">
    <w:name w:val="toc 9"/>
    <w:basedOn w:val="661"/>
    <w:uiPriority w:val="39"/>
    <w:unhideWhenUsed/>
    <w:pPr>
      <w:ind w:left="2268"/>
      <w:spacing w:after="57"/>
    </w:pPr>
  </w:style>
  <w:style w:type="paragraph" w:styleId="751">
    <w:name w:val="TOC Heading"/>
    <w:uiPriority w:val="39"/>
    <w:unhideWhenUsed/>
    <w:qFormat/>
  </w:style>
  <w:style w:type="paragraph" w:styleId="752">
    <w:name w:val="table of figures"/>
    <w:basedOn w:val="661"/>
    <w:uiPriority w:val="99"/>
    <w:unhideWhenUsed/>
  </w:style>
  <w:style w:type="paragraph" w:styleId="753" w:customStyle="1">
    <w:name w:val="Caption1"/>
    <w:basedOn w:val="661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54">
    <w:name w:val="Header"/>
    <w:basedOn w:val="661"/>
    <w:pPr>
      <w:tabs>
        <w:tab w:val="center" w:pos="4153" w:leader="none"/>
        <w:tab w:val="right" w:pos="8306" w:leader="none"/>
      </w:tabs>
    </w:pPr>
  </w:style>
  <w:style w:type="paragraph" w:styleId="755">
    <w:name w:val="Balloon Text"/>
    <w:basedOn w:val="661"/>
    <w:qFormat/>
    <w:rPr>
      <w:rFonts w:ascii="Tahoma" w:hAnsi="Tahoma" w:cs="Tahoma"/>
      <w:sz w:val="16"/>
      <w:szCs w:val="16"/>
    </w:rPr>
  </w:style>
  <w:style w:type="paragraph" w:styleId="756" w:customStyle="1">
    <w:name w:val="prilozhenie"/>
    <w:basedOn w:val="661"/>
    <w:qFormat/>
    <w:pPr>
      <w:ind w:firstLine="709"/>
      <w:jc w:val="both"/>
    </w:pPr>
    <w:rPr>
      <w:sz w:val="24"/>
      <w:szCs w:val="24"/>
    </w:rPr>
  </w:style>
  <w:style w:type="paragraph" w:styleId="757">
    <w:name w:val="Body Text Indent 2"/>
    <w:basedOn w:val="661"/>
    <w:qFormat/>
    <w:pPr>
      <w:ind w:left="283" w:firstLine="709"/>
      <w:jc w:val="both"/>
      <w:spacing w:after="120" w:line="480" w:lineRule="auto"/>
    </w:pPr>
    <w:rPr>
      <w:sz w:val="28"/>
      <w:szCs w:val="24"/>
    </w:rPr>
  </w:style>
  <w:style w:type="paragraph" w:styleId="758">
    <w:name w:val="HTML Preformatted"/>
    <w:basedOn w:val="661"/>
    <w:qFormat/>
    <w:rPr>
      <w:rFonts w:ascii="Courier New" w:hAnsi="Courier New" w:cs="Courier New"/>
    </w:rPr>
  </w:style>
  <w:style w:type="paragraph" w:styleId="759" w:customStyle="1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760">
    <w:name w:val="Normal (Web)"/>
    <w:basedOn w:val="661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styleId="761" w:customStyle="1">
    <w:name w:val="Содержимое таблицы"/>
    <w:basedOn w:val="661"/>
    <w:qFormat/>
    <w:pPr>
      <w:widowControl w:val="off"/>
      <w:suppressLineNumbers/>
    </w:pPr>
  </w:style>
  <w:style w:type="paragraph" w:styleId="762" w:customStyle="1">
    <w:name w:val="Заголовок таблицы"/>
    <w:basedOn w:val="761"/>
    <w:qFormat/>
    <w:pPr>
      <w:jc w:val="center"/>
    </w:pPr>
    <w:rPr>
      <w:b/>
      <w:bCs/>
    </w:rPr>
  </w:style>
  <w:style w:type="paragraph" w:styleId="763" w:customStyle="1">
    <w:name w:val="Содержимое врезки"/>
    <w:basedOn w:val="661"/>
    <w:qFormat/>
  </w:style>
  <w:style w:type="table" w:styleId="764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7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8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69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70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2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3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4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5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6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7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8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794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795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796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797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98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99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0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8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9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0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1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4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5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6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7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8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9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0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1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2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3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4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5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6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7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58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59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60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61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62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0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71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72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73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74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5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6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7" w:customStyle="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78" w:customStyle="1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79" w:customStyle="1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80" w:customStyle="1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81" w:customStyle="1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82" w:customStyle="1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83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84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5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86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87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88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89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paragraph" w:styleId="890" w:customStyle="1">
    <w:name w:val="Абзац 4"/>
    <w:basedOn w:val="763"/>
    <w:hidden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 w:cstheme="minorBidi"/>
      <w:sz w:val="24"/>
      <w:szCs w:val="22"/>
      <w:lang w:eastAsia="ru-RU"/>
    </w:rPr>
  </w:style>
  <w:style w:type="paragraph" w:styleId="891" w:customStyle="1">
    <w:name w:val="Абзац 3"/>
    <w:basedOn w:val="661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styleId="892" w:customStyle="1">
    <w:name w:val="docdata"/>
    <w:basedOn w:val="671"/>
  </w:style>
  <w:style w:type="paragraph" w:styleId="893" w:customStyle="1">
    <w:name w:val="1560"/>
    <w:basedOn w:val="66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4" w:customStyle="1">
    <w:name w:val="1624"/>
    <w:basedOn w:val="66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5" w:customStyle="1">
    <w:name w:val="2076"/>
    <w:basedOn w:val="66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6" w:customStyle="1">
    <w:name w:val="1702"/>
    <w:basedOn w:val="66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7" w:customStyle="1">
    <w:name w:val="1650"/>
    <w:basedOn w:val="661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ogk2.ru/" TargetMode="External"/><Relationship Id="rId10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Р7-Офис/2026.1.3.2139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dc:language>ru-RU</dc:language>
  <cp:lastModifiedBy>golubeva.valentina</cp:lastModifiedBy>
  <cp:revision>20</cp:revision>
  <dcterms:created xsi:type="dcterms:W3CDTF">2025-08-13T06:44:00Z</dcterms:created>
  <dcterms:modified xsi:type="dcterms:W3CDTF">2026-05-15T06:43:45Z</dcterms:modified>
</cp:coreProperties>
</file>