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284"/>
        <w:jc w:val="center"/>
        <w:rPr>
          <w:b/>
          <w:bCs/>
          <w:color w:val="000000"/>
          <w:highlight w:val="none"/>
        </w:rPr>
      </w:pPr>
      <w:r>
        <w:rPr>
          <w:b/>
          <w:bCs/>
        </w:rPr>
        <w:t>Сообщение о существенном факте</w:t>
        <w:br/>
        <w:t>«</w:t>
      </w:r>
      <w:r>
        <w:rPr>
          <w:b/>
          <w:color w:val="000000"/>
        </w:rPr>
        <w:t>Об отдельных решениях, принятых советом директоров эмитента»</w:t>
      </w:r>
    </w:p>
    <w:p>
      <w:pPr>
        <w:pStyle w:val="Normal"/>
        <w:ind w:left="-284"/>
        <w:jc w:val="center"/>
        <w:rPr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10233" w:type="dxa"/>
        <w:jc w:val="left"/>
        <w:tblInd w:w="-32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5129"/>
        <w:gridCol w:w="5103"/>
      </w:tblGrid>
      <w:tr>
        <w:trPr/>
        <w:tc>
          <w:tcPr>
            <w:tcW w:w="10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60" w:leader="none"/>
              </w:tabs>
              <w:ind w:left="-61"/>
              <w:jc w:val="center"/>
              <w:rPr/>
            </w:pPr>
            <w:r>
              <w:rPr/>
              <w:t>1. Общие сведения</w:t>
            </w:r>
          </w:p>
        </w:tc>
      </w:tr>
      <w:tr>
        <w:trPr/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/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40" w:right="8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Публичное акционерное общество «Вторая генерирующая компания оптового рынка электроэнергии»</w:t>
            </w:r>
          </w:p>
        </w:tc>
      </w:tr>
      <w:tr>
        <w:trPr/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/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40" w:right="8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196605, г. Санкт-Петербург, вн.тер.г. поселок Шушары, ш Петербургское, д. 66, к. 1, литера А, этаж 7, помещ. 36-Н, каб. 701</w:t>
            </w:r>
          </w:p>
        </w:tc>
      </w:tr>
      <w:tr>
        <w:trPr/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40" w:right="8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1052600002180</w:t>
            </w:r>
          </w:p>
        </w:tc>
      </w:tr>
      <w:tr>
        <w:trPr>
          <w:trHeight w:val="70" w:hRule="atLeast"/>
        </w:trPr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1.4. Идентификационный номер налогоплательщика (ИНН) эмитента (при наличии)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40" w:right="8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2607018122</w:t>
            </w:r>
          </w:p>
        </w:tc>
      </w:tr>
      <w:tr>
        <w:trPr/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1.5. Уникальный код эмитента, присвоенный Банком России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40" w:right="8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65105-D</w:t>
            </w:r>
          </w:p>
        </w:tc>
      </w:tr>
      <w:tr>
        <w:trPr/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1.6. Адрес страницы в сети Интернет, используемой эмитентом для раскрытия информации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57"/>
              <w:rPr/>
            </w:pPr>
            <w:hyperlink r:id="rId2" w:tgtFrame="https://www.ogk2.ru/">
              <w:r>
                <w:rPr>
                  <w:rStyle w:val="Hyperlink"/>
                  <w:rFonts w:eastAsia="Times New Roman" w:cs="Times New Roman"/>
                  <w:sz w:val="20"/>
                  <w:szCs w:val="20"/>
                  <w:lang w:eastAsia="ru-RU"/>
                </w:rPr>
                <w:t>https://www.ogk2.ru</w:t>
              </w:r>
            </w:hyperlink>
          </w:p>
          <w:p>
            <w:pPr>
              <w:pStyle w:val="Normal"/>
              <w:ind w:right="85"/>
              <w:rPr/>
            </w:pPr>
            <w:hyperlink r:id="rId3" w:tgtFrame="https://www.e-disclosure.ru/portal/company.aspx?id=7234">
              <w:r>
                <w:rPr>
                  <w:rStyle w:val="Hyperlink"/>
                  <w:rFonts w:eastAsia="Times New Roman" w:cs="Times New Roman"/>
                  <w:sz w:val="20"/>
                  <w:szCs w:val="20"/>
                  <w:lang w:eastAsia="ru-RU"/>
                </w:rPr>
                <w:t>https://www.e-disclosure.ru/portal/company.aspx?id=7234</w:t>
              </w:r>
            </w:hyperlink>
          </w:p>
        </w:tc>
      </w:tr>
      <w:tr>
        <w:trPr/>
        <w:tc>
          <w:tcPr>
            <w:tcW w:w="5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40" w:right="85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29.12.2023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515" w:type="dxa"/>
        <w:jc w:val="left"/>
        <w:tblInd w:w="-31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000" w:noHBand="0" w:noVBand="0" w:firstColumn="0" w:lastRow="0" w:lastColumn="0" w:firstRow="0"/>
      </w:tblPr>
      <w:tblGrid>
        <w:gridCol w:w="284"/>
        <w:gridCol w:w="10230"/>
      </w:tblGrid>
      <w:tr>
        <w:trPr>
          <w:trHeight w:val="195" w:hRule="atLeast"/>
        </w:trPr>
        <w:tc>
          <w:tcPr>
            <w:tcW w:w="284" w:type="dxa"/>
            <w:tcBorders/>
          </w:tcPr>
          <w:p>
            <w:pPr>
              <w:pStyle w:val="Normal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120" w:leader="none"/>
                <w:tab w:val="left" w:pos="450" w:leader="none"/>
              </w:tabs>
              <w:spacing w:lineRule="auto" w:line="240" w:before="0" w:after="0"/>
              <w:ind w:hanging="0" w:left="113" w:right="113"/>
              <w:jc w:val="center"/>
              <w:rPr/>
            </w:pPr>
            <w:r>
              <w:rPr/>
              <w:t>2. Содержание сообщения</w:t>
            </w:r>
          </w:p>
        </w:tc>
      </w:tr>
      <w:tr>
        <w:trPr>
          <w:trHeight w:val="4796" w:hRule="atLeast"/>
        </w:trPr>
        <w:tc>
          <w:tcPr>
            <w:tcW w:w="284" w:type="dxa"/>
            <w:tcBorders/>
          </w:tcPr>
          <w:p>
            <w:pPr>
              <w:pStyle w:val="Normal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lang w:eastAsia="en-US"/>
              </w:rPr>
            </w:r>
          </w:p>
        </w:tc>
        <w:tc>
          <w:tcPr>
            <w:tcW w:w="10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eastAsia="Calibri" w:eastAsiaTheme="minorHAnsi"/>
                <w:lang w:eastAsia="en-US"/>
              </w:rPr>
            </w:pPr>
            <w:r>
              <w:rPr/>
              <w:t xml:space="preserve">2.1. </w:t>
            </w:r>
            <w:r>
              <w:rPr>
                <w:rFonts w:eastAsia="Calibri" w:eastAsiaTheme="minorHAnsi"/>
                <w:lang w:eastAsia="en-US"/>
              </w:rPr>
              <w:t>Сведения о кворуме заседания Совета директоров эмитента:</w:t>
            </w:r>
          </w:p>
          <w:p>
            <w:pPr>
              <w:pStyle w:val="Normal"/>
              <w:ind w:right="57"/>
              <w:rPr/>
            </w:pPr>
            <w:r>
              <w:rPr>
                <w:b/>
              </w:rPr>
              <w:t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</w:t>
            </w:r>
            <w:r>
              <w:rPr/>
              <w:t>.</w:t>
            </w:r>
          </w:p>
          <w:p>
            <w:pPr>
              <w:pStyle w:val="Normal"/>
              <w:tabs>
                <w:tab w:val="clear" w:pos="708"/>
                <w:tab w:val="left" w:pos="547" w:leader="none"/>
              </w:tabs>
              <w:ind w:left="-28" w:right="57"/>
              <w:jc w:val="both"/>
              <w:rPr/>
            </w:pPr>
            <w:r>
              <w:rPr/>
              <w:t>2.2. Содержание решений, принятых советом директоров эмитента:</w:t>
            </w:r>
          </w:p>
          <w:p>
            <w:pPr>
              <w:pStyle w:val="Normal"/>
              <w:tabs>
                <w:tab w:val="clear" w:pos="708"/>
                <w:tab w:val="left" w:pos="547" w:leader="none"/>
              </w:tabs>
              <w:ind w:left="121" w:right="57"/>
              <w:jc w:val="both"/>
              <w:rPr/>
            </w:pPr>
            <w:r>
              <w:rPr/>
            </w:r>
          </w:p>
          <w:p>
            <w:pPr>
              <w:pStyle w:val="BodyText"/>
              <w:widowControl w:val="false"/>
              <w:rPr>
                <w:b/>
              </w:rPr>
            </w:pPr>
            <w:r>
              <w:rPr>
                <w:b/>
              </w:rPr>
              <w:t>Вопрос:</w:t>
            </w:r>
          </w:p>
          <w:p>
            <w:pPr>
              <w:pStyle w:val="3"/>
              <w:spacing w:before="20" w:after="20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1</w:t>
            </w:r>
            <w:r>
              <w:rPr>
                <w:b/>
              </w:rPr>
              <w:t xml:space="preserve">. </w:t>
            </w:r>
            <w:r>
              <w:rPr>
                <w:rFonts w:eastAsia="Times New Roman" w:cs="Times New Roman"/>
                <w:b/>
                <w:sz w:val="20"/>
                <w:szCs w:val="20"/>
              </w:rPr>
              <w:t>Об определении закупочной политики в Обществе.</w:t>
            </w:r>
          </w:p>
          <w:p>
            <w:pPr>
              <w:pStyle w:val="3"/>
              <w:spacing w:before="20" w:after="2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  <w:p>
            <w:pPr>
              <w:pStyle w:val="Normal"/>
              <w:spacing w:before="20" w:after="20"/>
              <w:jc w:val="both"/>
              <w:rPr/>
            </w:pPr>
            <w:r>
              <w:rPr/>
              <w:t>1.1. О внесении изменений в Годовую комплексную программу закупок Общества под нужды 2024 года.</w:t>
            </w:r>
          </w:p>
          <w:p>
            <w:pPr>
              <w:pStyle w:val="3"/>
              <w:spacing w:before="20" w:after="2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jc w:val="both"/>
              <w:rPr/>
            </w:pPr>
            <w:r>
              <w:rPr/>
              <w:t>Результаты голосования: За – 10,  Против – 0, Воздержался – 1, не учитывались при голосовании – 0.</w:t>
            </w:r>
          </w:p>
          <w:p>
            <w:pPr>
              <w:pStyle w:val="3"/>
              <w:spacing w:before="20" w:after="2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  <w:p>
            <w:pPr>
              <w:pStyle w:val="NoSpacing"/>
              <w:rPr>
                <w:b/>
              </w:rPr>
            </w:pPr>
            <w:r>
              <w:rPr>
                <w:b/>
              </w:rPr>
              <w:t>Принятое решение:</w:t>
            </w:r>
          </w:p>
          <w:p>
            <w:pPr>
              <w:pStyle w:val="3"/>
              <w:spacing w:before="20" w:after="2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Утвердить корректировку Годовой комплексной программы закупок Общества под нужды 2024 года в соответствии с Приложением № 1.1 к решению Совета директоров.</w:t>
            </w:r>
          </w:p>
          <w:p>
            <w:pPr>
              <w:pStyle w:val="3"/>
              <w:spacing w:before="20" w:after="2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  <w:p>
            <w:pPr>
              <w:pStyle w:val="3"/>
              <w:spacing w:before="20" w:after="20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2. Об изменении инвестиционной программы Общества на 2023 год.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jc w:val="both"/>
              <w:rPr>
                <w:highlight w:val="none"/>
              </w:rPr>
            </w:pPr>
            <w:r>
              <w:rPr>
                <w:bCs/>
              </w:rPr>
              <w:t>Результаты голосования: За – 9, Против – 1, Воздержался – 1, не учитывались при голосовании – 0.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jc w:val="both"/>
              <w:rPr/>
            </w:pPr>
            <w:r>
              <w:rPr/>
            </w:r>
          </w:p>
          <w:p>
            <w:pPr>
              <w:pStyle w:val="NoSpacing"/>
              <w:rPr>
                <w:b/>
              </w:rPr>
            </w:pPr>
            <w:r>
              <w:rPr>
                <w:b/>
              </w:rPr>
              <w:t>Принятое решение:</w:t>
            </w:r>
          </w:p>
          <w:p>
            <w:pPr>
              <w:pStyle w:val="3"/>
              <w:spacing w:before="20" w:after="20"/>
              <w:jc w:val="both"/>
              <w:rPr>
                <w:rFonts w:eastAsia="Times New Roman" w:cs="Times New Roman"/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</w:rPr>
              <w:t xml:space="preserve">Утвердить скорректированную инвестиционную программу ПАО «ОГК-2» на 2023 год, в соответствии с Приложением № 2 </w:t>
            </w:r>
            <w:r>
              <w:rPr>
                <w:rFonts w:eastAsia="Times New Roman" w:cs="Times New Roman"/>
                <w:sz w:val="20"/>
                <w:szCs w:val="20"/>
              </w:rPr>
              <w:t>к решению Совета директоров.</w:t>
            </w:r>
          </w:p>
          <w:p>
            <w:pPr>
              <w:pStyle w:val="3"/>
              <w:spacing w:before="20" w:after="20"/>
              <w:jc w:val="both"/>
              <w:rPr>
                <w:rFonts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eastAsia="Times New Roman" w:cs="Times New Roman"/>
                <w:sz w:val="20"/>
                <w:szCs w:val="20"/>
              </w:rPr>
            </w:r>
          </w:p>
          <w:p>
            <w:pPr>
              <w:pStyle w:val="3"/>
              <w:spacing w:before="20" w:after="20"/>
              <w:rPr/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4. Об утверждении Плана деятельности внутреннего аудита ПАО «ОГК-2» на 2024-2026 гг.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jc w:val="both"/>
              <w:rPr/>
            </w:pPr>
            <w:r>
              <w:rPr>
                <w:bCs/>
              </w:rPr>
              <w:t>Результаты голосования: За – 11, Против – 0, Воздержался – 0, не учитывались при голосовании – 0.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jc w:val="both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>
                <w:b/>
              </w:rPr>
              <w:t>Принятое решение:</w:t>
            </w:r>
          </w:p>
          <w:p>
            <w:pPr>
              <w:pStyle w:val="3"/>
              <w:spacing w:before="20" w:after="20"/>
              <w:jc w:val="both"/>
              <w:rPr/>
            </w:pPr>
            <w:r>
              <w:rPr>
                <w:sz w:val="20"/>
                <w:szCs w:val="20"/>
              </w:rPr>
              <w:t xml:space="preserve">Утвердить План деятельности внутреннего аудита ПАО «ОГК-2» на 2024-2026 гг. в соответствии с Приложением № 3 </w:t>
            </w:r>
            <w:r>
              <w:rPr>
                <w:rFonts w:eastAsia="Times New Roman" w:cs="Times New Roman"/>
                <w:sz w:val="20"/>
                <w:szCs w:val="20"/>
              </w:rPr>
              <w:t>к решению Совета директоров.</w:t>
            </w:r>
          </w:p>
          <w:p>
            <w:pPr>
              <w:pStyle w:val="3"/>
              <w:spacing w:before="20" w:after="20"/>
              <w:jc w:val="both"/>
              <w:rPr/>
            </w:pPr>
            <w:r>
              <w:rPr/>
            </w:r>
          </w:p>
          <w:p>
            <w:pPr>
              <w:pStyle w:val="3"/>
              <w:spacing w:before="20" w:after="20"/>
              <w:jc w:val="both"/>
              <w:rPr/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5. Об утверждении реестра непрофильных активов Общества и его дочерних обществ в новой редакции.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jc w:val="both"/>
              <w:rPr/>
            </w:pPr>
            <w:r>
              <w:rPr>
                <w:bCs/>
              </w:rPr>
              <w:t>Результаты голосования: За – 11, Против – 0, Воздержался – 0, не учитывались при голосовании – 0.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jc w:val="both"/>
              <w:rPr/>
            </w:pPr>
            <w:r>
              <w:rPr/>
            </w:r>
          </w:p>
          <w:p>
            <w:pPr>
              <w:pStyle w:val="NoSpacing"/>
              <w:rPr/>
            </w:pPr>
            <w:r>
              <w:rPr>
                <w:b/>
              </w:rPr>
              <w:t>Принятое решение:</w:t>
            </w:r>
          </w:p>
          <w:p>
            <w:pPr>
              <w:pStyle w:val="3"/>
              <w:spacing w:before="20" w:after="20"/>
              <w:jc w:val="both"/>
              <w:rPr/>
            </w:pPr>
            <w:r>
              <w:rPr>
                <w:sz w:val="20"/>
                <w:szCs w:val="20"/>
              </w:rPr>
              <w:t xml:space="preserve">Утвердить Реестр непрофильных активов ПАО «ОГК-2» и его дочерних обществ (далее – Реестр) в новой редакции в соответствии с Приложением № 4 </w:t>
            </w:r>
            <w:r>
              <w:rPr>
                <w:rFonts w:eastAsia="Times New Roman" w:cs="Times New Roman"/>
                <w:sz w:val="20"/>
                <w:szCs w:val="20"/>
              </w:rPr>
              <w:t>к решению Совета директоров.</w:t>
            </w:r>
          </w:p>
          <w:p>
            <w:pPr>
              <w:pStyle w:val="3"/>
              <w:spacing w:before="20" w:after="20"/>
              <w:jc w:val="both"/>
              <w:rPr/>
            </w:pPr>
            <w:r>
              <w:rPr/>
            </w:r>
          </w:p>
          <w:p>
            <w:pPr>
              <w:pStyle w:val="3"/>
              <w:spacing w:before="20" w:after="20"/>
              <w:rPr/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7. О рассмотрении отчета о выполнении Плана мероприятий по повышению операционной эффективности и оптимизации расходов ПАО «ОГК-2» за 9 месяцев 2023 года.</w:t>
            </w:r>
          </w:p>
          <w:p>
            <w:pPr>
              <w:pStyle w:val="Normal"/>
              <w:spacing w:before="20" w:after="2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jc w:val="both"/>
              <w:rPr>
                <w:bCs/>
              </w:rPr>
            </w:pPr>
            <w:r>
              <w:rPr>
                <w:bCs/>
              </w:rPr>
              <w:t>Результаты голосования: За – 11, Против – 0, Воздержался – 0, не учитывались при голосовании – 0.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jc w:val="both"/>
              <w:rPr/>
            </w:pPr>
            <w:r>
              <w:rPr/>
            </w:r>
          </w:p>
          <w:p>
            <w:pPr>
              <w:pStyle w:val="NoSpacing"/>
              <w:rPr>
                <w:b/>
              </w:rPr>
            </w:pPr>
            <w:r>
              <w:rPr>
                <w:b/>
              </w:rPr>
              <w:t>Принятое решение:</w:t>
            </w:r>
          </w:p>
          <w:p>
            <w:pPr>
              <w:pStyle w:val="NoSpacing"/>
              <w:rPr>
                <w:b/>
              </w:rPr>
            </w:pPr>
            <w:r>
              <w:rPr>
                <w:b w:val="false"/>
                <w:bCs w:val="false"/>
              </w:rPr>
              <w:t xml:space="preserve">Утвердить отчет о выполнении Плана мероприятий по повышению операционной эффективности и оптимизации расходов ПАО «ОГК-2» за 9 месяцев 2023 года, в соответствии с Приложением № 5 к </w:t>
            </w:r>
            <w:r>
              <w:rPr>
                <w:rFonts w:eastAsia="Times New Roman" w:cs="Times New Roman"/>
                <w:sz w:val="20"/>
                <w:szCs w:val="20"/>
              </w:rPr>
              <w:t>решению Совета директоров.</w:t>
            </w:r>
          </w:p>
          <w:p>
            <w:pPr>
              <w:pStyle w:val="Normal"/>
              <w:spacing w:before="20" w:after="20"/>
              <w:jc w:val="lef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3"/>
              <w:spacing w:before="20" w:after="20"/>
              <w:rPr/>
            </w:pPr>
            <w:r>
              <w:rPr>
                <w:rFonts w:eastAsia="Times New Roman" w:cs="Times New Roman"/>
                <w:b/>
                <w:sz w:val="20"/>
                <w:szCs w:val="20"/>
              </w:rPr>
              <w:t>8. Об утверждении отчета об итогах выполнения бизнес-плана Общества за 9 месяцев 2023 г.</w:t>
            </w:r>
          </w:p>
          <w:p>
            <w:pPr>
              <w:pStyle w:val="Normal"/>
              <w:spacing w:before="20" w:after="20"/>
              <w:rPr/>
            </w:pPr>
            <w:r>
              <w:rPr/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jc w:val="both"/>
              <w:rPr/>
            </w:pPr>
            <w:r>
              <w:rPr>
                <w:bCs/>
              </w:rPr>
              <w:t>Результаты голосования: За – 10, Против – 0, Воздержался – 1, не учитывались при голосовании – 0.</w:t>
            </w:r>
          </w:p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426" w:leader="none"/>
                <w:tab w:val="left" w:pos="851" w:leader="none"/>
              </w:tabs>
              <w:jc w:val="both"/>
              <w:rPr/>
            </w:pPr>
            <w:r>
              <w:rPr/>
            </w:r>
          </w:p>
          <w:p>
            <w:pPr>
              <w:pStyle w:val="NoSpacing"/>
              <w:rPr>
                <w:rFonts w:eastAsia="Times New Roman" w:cs="Times New Roman"/>
                <w:bCs/>
                <w:sz w:val="20"/>
                <w:szCs w:val="20"/>
              </w:rPr>
            </w:pPr>
            <w:r>
              <w:rPr>
                <w:b/>
              </w:rPr>
              <w:t>Принятое решение:</w:t>
            </w:r>
          </w:p>
          <w:p>
            <w:pPr>
              <w:pStyle w:val="Normal"/>
              <w:spacing w:before="20" w:after="20"/>
              <w:jc w:val="both"/>
              <w:rPr/>
            </w:pPr>
            <w:r>
              <w:rPr>
                <w:b w:val="false"/>
                <w:bCs w:val="false"/>
              </w:rPr>
              <w:t xml:space="preserve">Утвердить отчет об итогах выполнения бизнес-плана ПАО «ОГК-2» за 9 месяцев 2023 года согласно Приложению           № 6 к 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решению Совета директоров.</w:t>
            </w:r>
          </w:p>
          <w:p>
            <w:pPr>
              <w:pStyle w:val="Normal"/>
              <w:spacing w:before="20" w:after="20"/>
              <w:jc w:val="both"/>
              <w:rPr>
                <w:b w:val="false"/>
                <w:bCs w:val="false"/>
                <w:highlight w:val="non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Normal"/>
              <w:ind w:firstLine="21" w:right="57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2.3. Дата проведения заседания совета директоров эмитента, на котором приняты решения:</w:t>
            </w:r>
            <w:r>
              <w:rPr>
                <w:b/>
                <w:color w:val="000000"/>
              </w:rPr>
              <w:t xml:space="preserve"> 29.12.2023.</w:t>
            </w:r>
          </w:p>
          <w:p>
            <w:pPr>
              <w:pStyle w:val="Normal"/>
              <w:ind w:firstLine="21" w:right="57"/>
              <w:jc w:val="both"/>
              <w:rPr>
                <w:rFonts w:eastAsia="Calibri" w:eastAsiaTheme="minorHAnsi"/>
                <w:lang w:eastAsia="en-US"/>
              </w:rPr>
            </w:pPr>
            <w:r>
              <w:rPr>
                <w:color w:val="000000"/>
              </w:rPr>
              <w:t xml:space="preserve">2.4. Дата составления и номер протокола заседания совета директоров эмитента, на котором приняты решения: </w:t>
            </w:r>
            <w:r>
              <w:rPr>
                <w:b/>
              </w:rPr>
              <w:t>Протокол от 29.12.2023 № 313.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30" w:type="dxa"/>
        <w:jc w:val="left"/>
        <w:tblInd w:w="-47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HBand="0" w:noVBand="1" w:firstColumn="1" w:lastRow="0" w:lastColumn="0" w:firstRow="1"/>
      </w:tblPr>
      <w:tblGrid>
        <w:gridCol w:w="1709"/>
        <w:gridCol w:w="601"/>
        <w:gridCol w:w="299"/>
        <w:gridCol w:w="1306"/>
        <w:gridCol w:w="419"/>
        <w:gridCol w:w="315"/>
        <w:gridCol w:w="1516"/>
        <w:gridCol w:w="1349"/>
        <w:gridCol w:w="466"/>
        <w:gridCol w:w="2174"/>
        <w:gridCol w:w="76"/>
      </w:tblGrid>
      <w:tr>
        <w:trPr>
          <w:cantSplit w:val="true"/>
        </w:trPr>
        <w:tc>
          <w:tcPr>
            <w:tcW w:w="102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08"/>
                <w:tab w:val="left" w:pos="-120" w:leader="none"/>
                <w:tab w:val="left" w:pos="10095" w:leader="none"/>
              </w:tabs>
              <w:spacing w:lineRule="auto" w:line="240" w:before="0" w:after="0"/>
              <w:ind w:hanging="397" w:left="-170" w:right="397"/>
              <w:jc w:val="center"/>
              <w:rPr/>
            </w:pPr>
            <w:r>
              <w:rPr/>
              <w:t>3. Подпись</w:t>
            </w:r>
          </w:p>
        </w:tc>
      </w:tr>
      <w:tr>
        <w:trPr>
          <w:cantSplit w:val="true"/>
        </w:trPr>
        <w:tc>
          <w:tcPr>
            <w:tcW w:w="6165" w:type="dxa"/>
            <w:gridSpan w:val="7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>
            <w:pPr>
              <w:pStyle w:val="Normal"/>
              <w:ind w:left="57"/>
              <w:rPr>
                <w:b/>
              </w:rPr>
            </w:pPr>
            <w:r>
              <w:rPr>
                <w:b/>
              </w:rPr>
              <w:t>3.1.</w:t>
            </w:r>
            <w:r>
              <w:rPr>
                <w:szCs w:val="22"/>
              </w:rPr>
              <w:t xml:space="preserve"> </w:t>
            </w:r>
            <w:r>
              <w:rPr>
                <w:b/>
              </w:rPr>
              <w:t>Заместитель управляющего директора</w:t>
            </w:r>
          </w:p>
          <w:p>
            <w:pPr>
              <w:pStyle w:val="Normal"/>
              <w:ind w:left="57"/>
              <w:rPr>
                <w:b/>
              </w:rPr>
            </w:pPr>
            <w:r>
              <w:rPr>
                <w:b/>
              </w:rPr>
              <w:t>по корпоративным и правовым вопросам, действующий на основании доверенности № 77/299-н/77-2022-1-1027 от 25.03.2022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rPr>
                <w:b/>
                <w:i/>
                <w:i/>
                <w:szCs w:val="22"/>
                <w:lang w:eastAsia="ko-KR"/>
              </w:rPr>
            </w:pPr>
            <w:r>
              <w:rPr>
                <w:b/>
                <w:i/>
                <w:szCs w:val="22"/>
                <w:lang w:eastAsia="ko-KR"/>
              </w:rPr>
            </w:r>
          </w:p>
        </w:tc>
        <w:tc>
          <w:tcPr>
            <w:tcW w:w="2174" w:type="dxa"/>
            <w:tcBorders>
              <w:top w:val="single" w:sz="4" w:space="0" w:color="000000"/>
            </w:tcBorders>
            <w:vAlign w:val="bottom"/>
          </w:tcPr>
          <w:p>
            <w:pPr>
              <w:pStyle w:val="Normal"/>
              <w:widowControl/>
              <w:spacing w:lineRule="auto" w:line="240" w:before="0" w:after="0"/>
              <w:ind w:hanging="0" w:left="0" w:right="170"/>
              <w:jc w:val="right"/>
              <w:rPr>
                <w:b/>
              </w:rPr>
            </w:pPr>
            <w:r>
              <w:rPr>
                <w:b/>
              </w:rPr>
              <w:t xml:space="preserve">            </w:t>
            </w:r>
            <w:r>
              <w:rPr>
                <w:b/>
              </w:rPr>
              <w:t>М.А. Чалый</w:t>
            </w:r>
          </w:p>
        </w:tc>
        <w:tc>
          <w:tcPr>
            <w:tcW w:w="76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80" w:hRule="exact"/>
          <w:cantSplit w:val="true"/>
        </w:trPr>
        <w:tc>
          <w:tcPr>
            <w:tcW w:w="6165" w:type="dxa"/>
            <w:gridSpan w:val="7"/>
            <w:tcBorders>
              <w:lef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15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/>
              <w:t>(подпись)</w:t>
            </w:r>
          </w:p>
        </w:tc>
        <w:tc>
          <w:tcPr>
            <w:tcW w:w="217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6" w:type="dxa"/>
            <w:tcBorders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1" w:hRule="atLeast"/>
          <w:cantSplit w:val="true"/>
        </w:trPr>
        <w:tc>
          <w:tcPr>
            <w:tcW w:w="1709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893" w:leader="none"/>
                <w:tab w:val="left" w:pos="1532" w:leader="none"/>
              </w:tabs>
              <w:ind w:left="57"/>
              <w:rPr/>
            </w:pPr>
            <w:r>
              <w:rPr/>
              <w:t>3.2. Дата</w:t>
            </w:r>
          </w:p>
        </w:tc>
        <w:tc>
          <w:tcPr>
            <w:tcW w:w="60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«29»</w:t>
            </w:r>
          </w:p>
        </w:tc>
        <w:tc>
          <w:tcPr>
            <w:tcW w:w="29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0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декабря</w:t>
            </w:r>
          </w:p>
        </w:tc>
        <w:tc>
          <w:tcPr>
            <w:tcW w:w="41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20</w:t>
            </w:r>
          </w:p>
        </w:tc>
        <w:tc>
          <w:tcPr>
            <w:tcW w:w="315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  <w:t>23</w:t>
            </w:r>
          </w:p>
        </w:tc>
        <w:tc>
          <w:tcPr>
            <w:tcW w:w="151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ind w:left="57"/>
              <w:rPr/>
            </w:pPr>
            <w:r>
              <w:rPr/>
              <w:t>г.</w:t>
            </w:r>
          </w:p>
        </w:tc>
        <w:tc>
          <w:tcPr>
            <w:tcW w:w="1349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716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2895" w:leader="none"/>
        </w:tabs>
        <w:rPr/>
      </w:pPr>
      <w:r>
        <w:rPr/>
      </w:r>
    </w:p>
    <w:sectPr>
      <w:headerReference w:type="even" r:id="rId4"/>
      <w:headerReference w:type="default" r:id="rId5"/>
      <w:footerReference w:type="default" r:id="rId6"/>
      <w:type w:val="nextPage"/>
      <w:pgSz w:w="11906" w:h="16838"/>
      <w:pgMar w:left="1440" w:right="1440" w:gutter="0" w:header="284" w:top="1440" w:footer="284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Верхний колонтитул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qFormat/>
    <w:rPr/>
  </w:style>
  <w:style w:type="character" w:styleId="Hyperlink">
    <w:name w:val="Hyperlink"/>
    <w:rPr>
      <w:color w:val="0000FF"/>
      <w:u w:val="single"/>
    </w:rPr>
  </w:style>
  <w:style w:type="character" w:styleId="Style8" w:customStyle="1">
    <w:name w:val="Основной текст Знак"/>
    <w:basedOn w:val="DefaultParagraphFont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Нижний колонтитул Знак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0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ru-RU"/>
    </w:rPr>
  </w:style>
  <w:style w:type="character" w:styleId="Style11" w:customStyle="1">
    <w:name w:val="Абзац списка Знак"/>
    <w:uiPriority w:val="34"/>
    <w:qFormat/>
    <w:rPr>
      <w:rFonts w:ascii="Calibri" w:hAnsi="Calibri" w:eastAsia="Calibri" w:cs="Times New Roman"/>
    </w:rPr>
  </w:style>
  <w:style w:type="character" w:styleId="Style12ptBoldItalic" w:customStyle="1">
    <w:name w:val="Style 12 pt Bold Italic"/>
    <w:uiPriority w:val="99"/>
    <w:qFormat/>
    <w:rPr>
      <w:rFonts w:ascii="Times New Roman" w:hAnsi="Times New Roman"/>
      <w:b/>
      <w:bCs/>
      <w:i/>
      <w:iCs/>
      <w:sz w:val="22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st" w:customStyle="1">
    <w:name w:val="Subst"/>
    <w:uiPriority w:val="99"/>
    <w:qFormat/>
    <w:rPr>
      <w:b/>
      <w:i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2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Style14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3" w:customStyle="1">
    <w:name w:val="Абзац 3"/>
    <w:basedOn w:val="Normal"/>
    <w:qFormat/>
    <w:pPr>
      <w:jc w:val="both"/>
    </w:pPr>
    <w:rPr>
      <w:rFonts w:eastAsia="Arial" w:cs="Arial" w:cstheme="minorBidi" w:eastAsiaTheme="minorEastAsia"/>
      <w:sz w:val="24"/>
      <w:szCs w:val="22"/>
    </w:rPr>
  </w:style>
  <w:style w:type="paragraph" w:styleId="Style1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DEBF6" w:themeFill="accent1" w:themeFillTint="34"/>
      </w:tcPr>
    </w:tblStylePr>
    <w:tblStylePr w:type="band1Vert">
      <w:rPr>
        <w:sz w:val="22"/>
      </w:rPr>
      <w:tblPr/>
      <w:tcPr>
        <w:shd w:val="clear" w:color="FFFFFF" w:fill="DDEBF6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FEBF6" w:themeFill="accent1" w:themeFillTint="32"/>
      </w:tcPr>
    </w:tblStylePr>
    <w:tblStylePr w:type="band1Vert">
      <w:rPr>
        <w:sz w:val="22"/>
      </w:rPr>
      <w:tblPr/>
      <w:tcPr>
        <w:shd w:val="clear" w:color="FFFFFF" w:fill="DFEBF6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67A4D8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5D6" w:themeFill="accent2" w:themeFillTint="32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EF2CB" w:themeFill="accent4" w:themeFillTint="34"/>
      </w:tcPr>
    </w:tblStylePr>
    <w:tblStylePr w:type="band1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9E2F2" w:themeFill="accent5" w:themeFillTint="34"/>
      </w:tcPr>
    </w:tblStylePr>
    <w:tblStylePr w:type="band1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8" w:themeFill="accent6" w:themeFillTint="34"/>
      </w:tcPr>
    </w:tblStylePr>
    <w:tblStylePr w:type="band1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2EB" w:themeFill="accent1" w:themeFillTint="75"/>
      </w:tcPr>
    </w:tblStylePr>
    <w:tblStylePr w:type="band1Vert">
      <w:tblPr/>
      <w:tcPr>
        <w:shd w:val="clear" w:color="FFFFFF" w:fill="B4D2EB" w:themeFill="accent1" w:themeFillTint="75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6C3A1" w:themeFill="accent2" w:themeFillTint="75"/>
      </w:tcPr>
    </w:tblStylePr>
    <w:tblStylePr w:type="band1Vert">
      <w:tblPr/>
      <w:tcPr>
        <w:shd w:val="clear" w:color="FFFFFF" w:fill="F6C3A1" w:themeFill="accent2" w:themeFillTint="75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EE189" w:themeFill="accent4" w:themeFillTint="75"/>
      </w:tcPr>
    </w:tblStylePr>
    <w:tblStylePr w:type="band1Vert">
      <w:tblPr/>
      <w:tcPr>
        <w:shd w:val="clear" w:color="FFFFFF" w:fill="FEE189" w:themeFill="accent4" w:themeFillTint="75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ABFE3" w:themeFill="accent5" w:themeFillTint="75"/>
      </w:tcPr>
    </w:tblStylePr>
    <w:tblStylePr w:type="band1Vert">
      <w:tblPr/>
      <w:tcPr>
        <w:shd w:val="clear" w:color="FFFFFF" w:fill="AABFE3" w:themeFill="accent5" w:themeFillTint="7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EDBA8" w:themeFill="accent6" w:themeFillTint="75"/>
      </w:tcPr>
    </w:tblStylePr>
    <w:tblStylePr w:type="band1Vert">
      <w:tblPr/>
      <w:tcPr>
        <w:shd w:val="clear" w:color="FFFFFF" w:fill="BEDBA8" w:themeFill="accent6" w:themeFillTint="75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DEBF6" w:themeFill="accent1" w:themeFillTint="34"/>
      </w:tcPr>
    </w:tblStylePr>
    <w:tblStylePr w:type="band1Vert">
      <w:tblPr/>
      <w:tcPr>
        <w:shd w:val="clear" w:color="FFFFFF" w:fill="DDEB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EF2CB" w:themeFill="accent4" w:themeFillTint="34"/>
      </w:tcPr>
    </w:tblStylePr>
    <w:tblStylePr w:type="band1Vert">
      <w:tblPr/>
      <w:tcPr>
        <w:shd w:val="clear" w:color="FFFFFF" w:fill="FE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9E2F2" w:themeFill="accent5" w:themeFillTint="34"/>
      </w:tcPr>
    </w:tblStylePr>
    <w:tblStylePr w:type="band1Vert">
      <w:tblPr/>
      <w:tcPr>
        <w:shd w:val="clear" w:color="FFFFFF" w:fill="D9E2F2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8" w:themeFill="accent6" w:themeFillTint="34"/>
      </w:tcPr>
    </w:tblStylePr>
    <w:tblStylePr w:type="band1Vert">
      <w:tblPr/>
      <w:tcPr>
        <w:shd w:val="clear" w:color="FFFFFF" w:fill="E2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EABDB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AD0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5E6F4" w:themeFill="accent1" w:themeFillTint="40"/>
      </w:tcPr>
    </w:tblStylePr>
    <w:tblStylePr w:type="band1Vert">
      <w:rPr>
        <w:sz w:val="22"/>
      </w:rPr>
      <w:tblPr/>
      <w:tcPr>
        <w:shd w:val="clear" w:color="FFFFFF" w:fill="D5E6F4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CFDCF0" w:themeFill="accent5" w:themeFillTint="40"/>
      </w:tcPr>
    </w:tblStylePr>
    <w:tblStylePr w:type="band1Vert">
      <w:rPr>
        <w:sz w:val="22"/>
      </w:rPr>
      <w:tblPr/>
      <w:tcPr>
        <w:shd w:val="clear" w:color="FFFFFF" w:fill="CFDC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BD0" w:themeFill="accent6" w:themeFillTint="40"/>
      </w:tcPr>
    </w:tblStylePr>
    <w:tblStylePr w:type="band1Vert">
      <w:rPr>
        <w:sz w:val="22"/>
      </w:rPr>
      <w:tblPr/>
      <w:tcPr>
        <w:shd w:val="clear" w:color="FFFFFF" w:fill="DBEBD0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5B9BD5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1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1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1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864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864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864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8EABDB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8EABDB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8EABDB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AD0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AD0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AD0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5E6F4" w:themeFill="accent1" w:themeFillTint="40"/>
      </w:tcPr>
    </w:tblStylePr>
    <w:tblStylePr w:type="band1Vert">
      <w:tblPr/>
      <w:tcPr>
        <w:shd w:val="clear" w:color="FFFFFF" w:fill="D5E6F4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CFDCF0" w:themeFill="accent5" w:themeFillTint="40"/>
      </w:tcPr>
    </w:tblStylePr>
    <w:tblStylePr w:type="band1Vert">
      <w:tblPr/>
      <w:tcPr>
        <w:shd w:val="clear" w:color="FFFFFF" w:fill="CFDC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BD0" w:themeFill="accent6" w:themeFillTint="40"/>
      </w:tcPr>
    </w:tblStylePr>
    <w:tblStylePr w:type="band1Vert">
      <w:tblPr/>
      <w:tcPr>
        <w:shd w:val="clear" w:color="FFFFFF" w:fill="DBEB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CE0F1" w:themeFill="accent1" w:themeFillTint="50"/>
      </w:tcPr>
    </w:tblStylePr>
    <w:tblStylePr w:type="band2Vert">
      <w:rPr>
        <w:sz w:val="22"/>
      </w:rPr>
      <w:tblPr/>
      <w:tcPr>
        <w:shd w:val="clear" w:color="FFFFFF" w:fill="CCE0F1" w:themeFill="accent1" w:themeFillTint="50"/>
      </w:tcPr>
    </w:tblStylePr>
    <w:tblStylePr w:type="firstCol">
      <w:rPr>
        <w:sz w:val="22"/>
      </w:rPr>
      <w:tblPr/>
      <w:tcPr>
        <w:shd w:val="clear" w:color="FFFFFF" w:fill="67A4D8" w:themeFill="accent1" w:themeFillTint="ea"/>
      </w:tcPr>
    </w:tblStylePr>
    <w:tblStylePr w:type="firstRow">
      <w:rPr>
        <w:sz w:val="22"/>
      </w:rPr>
      <w:tblPr/>
      <w:tcPr>
        <w:shd w:val="clear" w:color="FFFFFF" w:fill="67A4D8" w:themeFill="accent1" w:themeFillTint="ea"/>
      </w:tcPr>
    </w:tblStylePr>
    <w:tblStylePr w:type="lastCol">
      <w:rPr>
        <w:sz w:val="22"/>
      </w:rPr>
      <w:tblPr/>
      <w:tcPr>
        <w:shd w:val="clear" w:color="FFFFFF" w:fill="67A4D8" w:themeFill="accent1" w:themeFillTint="ea"/>
      </w:tcPr>
    </w:tblStylePr>
    <w:tblStylePr w:type="lastRow">
      <w:rPr>
        <w:sz w:val="22"/>
      </w:rPr>
      <w:tblPr/>
      <w:tcPr>
        <w:shd w:val="clear" w:color="FFFFFF" w:fill="67A4D8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firstCol">
      <w:rPr>
        <w:sz w:val="22"/>
      </w:rPr>
      <w:tblPr/>
      <w:tcPr>
        <w:shd w:val="clear" w:color="FFFFFF" w:fill="F4B185" w:themeFill="accent2" w:themeFillTint="97"/>
      </w:tcPr>
    </w:tblStylePr>
    <w:tblStylePr w:type="firstRow">
      <w:rPr>
        <w:sz w:val="22"/>
      </w:rPr>
      <w:tblPr/>
      <w:tcPr>
        <w:shd w:val="clear" w:color="FFFFFF" w:fill="F4B185" w:themeFill="accent2" w:themeFillTint="97"/>
      </w:tcPr>
    </w:tblStylePr>
    <w:tblStylePr w:type="lastCol">
      <w:rPr>
        <w:sz w:val="22"/>
      </w:rPr>
      <w:tblPr/>
      <w:tcPr>
        <w:shd w:val="clear" w:color="FFFFFF" w:fill="F4B185" w:themeFill="accent2" w:themeFillTint="97"/>
      </w:tcPr>
    </w:tblStylePr>
    <w:tblStylePr w:type="lastRow">
      <w:rPr>
        <w:sz w:val="22"/>
      </w:rPr>
      <w:tblPr/>
      <w:tcPr>
        <w:shd w:val="clear" w:color="FFFFFF" w:fill="F4B185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EF2CB" w:themeFill="accent4" w:themeFillTint="34"/>
      </w:tcPr>
    </w:tblStylePr>
    <w:tblStylePr w:type="band2Vert">
      <w:rPr>
        <w:sz w:val="22"/>
      </w:rPr>
      <w:tblPr/>
      <w:tcPr>
        <w:shd w:val="clear" w:color="FFFFFF" w:fill="FEF2CB" w:themeFill="accent4" w:themeFillTint="34"/>
      </w:tcPr>
    </w:tblStylePr>
    <w:tblStylePr w:type="firstCol">
      <w:rPr>
        <w:sz w:val="22"/>
      </w:rPr>
      <w:tblPr/>
      <w:tcPr>
        <w:shd w:val="clear" w:color="FFFFFF" w:fill="FFD864" w:themeFill="accent4" w:themeFillTint="9a"/>
      </w:tcPr>
    </w:tblStylePr>
    <w:tblStylePr w:type="firstRow">
      <w:rPr>
        <w:sz w:val="22"/>
      </w:rPr>
      <w:tblPr/>
      <w:tcPr>
        <w:shd w:val="clear" w:color="FFFFFF" w:fill="FFD864" w:themeFill="accent4" w:themeFillTint="9a"/>
      </w:tcPr>
    </w:tblStylePr>
    <w:tblStylePr w:type="lastCol">
      <w:rPr>
        <w:sz w:val="22"/>
      </w:rPr>
      <w:tblPr/>
      <w:tcPr>
        <w:shd w:val="clear" w:color="FFFFFF" w:fill="FFD864" w:themeFill="accent4" w:themeFillTint="9a"/>
      </w:tcPr>
    </w:tblStylePr>
    <w:tblStylePr w:type="lastRow">
      <w:rPr>
        <w:sz w:val="22"/>
      </w:rPr>
      <w:tblPr/>
      <w:tcPr>
        <w:shd w:val="clear" w:color="FFFFFF" w:fill="FFD864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9E2F2" w:themeFill="accent5" w:themeFillTint="34"/>
      </w:tcPr>
    </w:tblStylePr>
    <w:tblStylePr w:type="band2Vert">
      <w:rPr>
        <w:sz w:val="22"/>
      </w:rPr>
      <w:tblPr/>
      <w:tcPr>
        <w:shd w:val="clear" w:color="FFFFFF" w:fill="D9E2F2" w:themeFill="accent5" w:themeFillTint="34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8" w:themeFill="accent6" w:themeFillTint="34"/>
      </w:tcPr>
    </w:tblStylePr>
    <w:tblStylePr w:type="band2Vert">
      <w:rPr>
        <w:sz w:val="22"/>
      </w:rPr>
      <w:tblPr/>
      <w:tcPr>
        <w:shd w:val="clear" w:color="FFFFFF" w:fill="E2EFD8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351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ogk2.ru/" TargetMode="External"/><Relationship Id="rId3" Type="http://schemas.openxmlformats.org/officeDocument/2006/relationships/hyperlink" Target="https://www.e-disclosure.ru/portal/company.aspx?id=7234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74838-BC42-4F5B-8C1D-044A5456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LibreOffice/7.6.0.3$Linux_X86_64 LibreOffice_project/60$Build-3</Application>
  <AppVersion>15.0000</AppVersion>
  <Pages>2</Pages>
  <Words>539</Words>
  <Characters>3536</Characters>
  <CharactersWithSpaces>4062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2020-02-27T13:07:00Z</dcterms:created>
  <dc:creator>Белокур Елена Викторовна</dc:creator>
  <dc:description/>
  <dc:language>ru-RU</dc:language>
  <cp:lastModifiedBy/>
  <cp:lastPrinted>2023-12-29T12:51:23Z</cp:lastPrinted>
  <dcterms:modified xsi:type="dcterms:W3CDTF">2023-12-29T13:08:38Z</dcterms:modified>
  <cp:revision>347</cp:revision>
  <dc:subject/>
  <dc:title/>
</cp:coreProperties>
</file>