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Pr="00C74AF9" w:rsidRDefault="0067023E">
      <w:pPr>
        <w:ind w:firstLine="540"/>
        <w:jc w:val="center"/>
        <w:outlineLvl w:val="0"/>
        <w:rPr>
          <w:b/>
          <w:bCs/>
        </w:rPr>
      </w:pPr>
      <w:r w:rsidRPr="00C74AF9">
        <w:rPr>
          <w:b/>
          <w:bCs/>
        </w:rPr>
        <w:t xml:space="preserve">Сообщение о существенном факте </w:t>
      </w:r>
    </w:p>
    <w:p w:rsidR="008E6691" w:rsidRPr="00450859" w:rsidRDefault="0067023E" w:rsidP="00450859">
      <w:pPr>
        <w:pStyle w:val="aff"/>
        <w:spacing w:before="0" w:after="0" w:line="288" w:lineRule="atLeast"/>
        <w:ind w:firstLine="540"/>
        <w:jc w:val="center"/>
        <w:rPr>
          <w:rFonts w:eastAsia="Times New Roman"/>
          <w:b/>
          <w:sz w:val="20"/>
          <w:szCs w:val="20"/>
          <w:lang w:val="ru-RU" w:eastAsia="ru-RU"/>
        </w:rPr>
      </w:pPr>
      <w:r w:rsidRPr="00450859">
        <w:rPr>
          <w:b/>
          <w:bCs/>
          <w:sz w:val="20"/>
          <w:szCs w:val="20"/>
          <w:lang w:val="ru-RU"/>
        </w:rPr>
        <w:t>«</w:t>
      </w:r>
      <w:r w:rsidR="00450859" w:rsidRPr="00450859">
        <w:rPr>
          <w:b/>
          <w:bCs/>
          <w:sz w:val="20"/>
          <w:szCs w:val="20"/>
          <w:lang w:val="ru-RU"/>
        </w:rPr>
        <w:t>О</w:t>
      </w:r>
      <w:r w:rsidR="00450859" w:rsidRPr="00450859">
        <w:rPr>
          <w:rFonts w:eastAsia="Times New Roman"/>
          <w:b/>
          <w:sz w:val="20"/>
          <w:szCs w:val="20"/>
          <w:lang w:val="ru-RU" w:eastAsia="ru-RU"/>
        </w:rPr>
        <w:t xml:space="preserve"> созыве общего собрания участников (акционеров) эмитента</w:t>
      </w:r>
      <w:r w:rsidR="008E6691" w:rsidRPr="00450859">
        <w:rPr>
          <w:rFonts w:eastAsia="Times New Roman"/>
          <w:b/>
          <w:sz w:val="20"/>
          <w:szCs w:val="20"/>
          <w:lang w:val="ru-RU" w:eastAsia="ru-RU"/>
        </w:rPr>
        <w:t>»</w:t>
      </w:r>
    </w:p>
    <w:p w:rsidR="00483C63" w:rsidRPr="00C74AF9" w:rsidRDefault="008E6691" w:rsidP="002515CE">
      <w:pPr>
        <w:tabs>
          <w:tab w:val="left" w:pos="7633"/>
        </w:tabs>
        <w:rPr>
          <w:b/>
          <w:bCs/>
          <w:sz w:val="16"/>
        </w:rPr>
      </w:pPr>
      <w:r w:rsidRPr="00C74AF9">
        <w:rPr>
          <w:b/>
          <w:bCs/>
        </w:rPr>
        <w:tab/>
      </w: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C74AF9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center"/>
            </w:pPr>
            <w:r w:rsidRPr="00C74AF9">
              <w:t>1. Общие сведения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  <w:rPr>
                <w:b/>
                <w:bCs/>
              </w:rPr>
            </w:pPr>
            <w:r w:rsidRPr="00C74AF9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 xml:space="preserve">196605, г. Санкт-Петербург, вн.тер.г. поселок Шушары, ш Петербургское, д. 66, к. 1, литера А, этаж 7, </w:t>
            </w:r>
            <w:r w:rsidRPr="00C74AF9">
              <w:rPr>
                <w:b/>
                <w:bCs/>
              </w:rPr>
              <w:br/>
              <w:t>помещ. 36-Н, каб. 701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1052600002180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2607018122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ind w:left="40" w:right="85"/>
              <w:rPr>
                <w:b/>
                <w:bCs/>
              </w:rPr>
            </w:pPr>
            <w:r w:rsidRPr="00C74AF9">
              <w:rPr>
                <w:b/>
                <w:bCs/>
              </w:rPr>
              <w:t>65105-D</w:t>
            </w:r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r w:rsidRPr="00C74AF9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AB0EA2">
            <w:pPr>
              <w:ind w:right="57"/>
              <w:rPr>
                <w:b/>
                <w:bCs/>
              </w:rPr>
            </w:pPr>
            <w:hyperlink r:id="rId8" w:tooltip="https://www.ogk2.ru/" w:history="1">
              <w:r w:rsidR="0067023E" w:rsidRPr="00C74AF9">
                <w:rPr>
                  <w:rStyle w:val="a8"/>
                  <w:b/>
                  <w:bCs/>
                  <w:color w:val="auto"/>
                </w:rPr>
                <w:t>https://www.ogk2.ru</w:t>
              </w:r>
            </w:hyperlink>
          </w:p>
          <w:p w:rsidR="00483C63" w:rsidRPr="00C74AF9" w:rsidRDefault="00AB0EA2">
            <w:pPr>
              <w:ind w:right="85"/>
              <w:rPr>
                <w:b/>
                <w:bCs/>
              </w:rPr>
            </w:pPr>
            <w:hyperlink r:id="rId9" w:tooltip="https://www.e-disclosure.ru/portal/company.aspx?id=7234" w:history="1">
              <w:r w:rsidR="0067023E" w:rsidRPr="00C74AF9">
                <w:rPr>
                  <w:rStyle w:val="a8"/>
                  <w:b/>
                  <w:bCs/>
                  <w:color w:val="auto"/>
                </w:rPr>
                <w:t>https://www.e-disclosure.ru/portal/company.aspx?id=7234</w:t>
              </w:r>
            </w:hyperlink>
          </w:p>
        </w:tc>
      </w:tr>
      <w:tr w:rsidR="00483C63" w:rsidRPr="00C74AF9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both"/>
            </w:pPr>
            <w:r w:rsidRPr="00C74AF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2E0C1B" w:rsidP="002E0C1B">
            <w:pPr>
              <w:ind w:right="85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AA7A5C" w:rsidRPr="00C74AF9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A22AE0" w:rsidRPr="00C74AF9">
              <w:rPr>
                <w:b/>
                <w:bCs/>
              </w:rPr>
              <w:t>.2025</w:t>
            </w:r>
          </w:p>
        </w:tc>
      </w:tr>
    </w:tbl>
    <w:p w:rsidR="00483C63" w:rsidRPr="00C74AF9" w:rsidRDefault="00483C63">
      <w:pPr>
        <w:rPr>
          <w:sz w:val="16"/>
        </w:rPr>
      </w:pPr>
    </w:p>
    <w:tbl>
      <w:tblPr>
        <w:tblW w:w="10207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7"/>
      </w:tblGrid>
      <w:tr w:rsidR="00483C63" w:rsidRPr="00C74AF9" w:rsidTr="003E7805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74AF9" w:rsidRDefault="0067023E">
            <w:pPr>
              <w:jc w:val="center"/>
            </w:pPr>
            <w:r w:rsidRPr="00C74AF9">
              <w:t>2. Содержание сообщения</w:t>
            </w:r>
          </w:p>
        </w:tc>
      </w:tr>
      <w:tr w:rsidR="00483C63" w:rsidRPr="00735C51" w:rsidTr="003E7805">
        <w:trPr>
          <w:trHeight w:val="14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91" w:rsidRPr="00735C51" w:rsidRDefault="008E6691" w:rsidP="003E7805">
            <w:pPr>
              <w:ind w:firstLine="28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="002E0C1B">
              <w:rPr>
                <w:b/>
                <w:lang w:eastAsia="ru-RU"/>
              </w:rPr>
              <w:t>годовое</w:t>
            </w:r>
            <w:r w:rsidR="00873E8F">
              <w:rPr>
                <w:b/>
                <w:lang w:eastAsia="ru-RU"/>
              </w:rPr>
              <w:t xml:space="preserve"> (очередное)</w:t>
            </w:r>
            <w:r w:rsidRPr="00735C51">
              <w:rPr>
                <w:b/>
                <w:lang w:eastAsia="ru-RU"/>
              </w:rPr>
              <w:t>.</w:t>
            </w:r>
          </w:p>
          <w:p w:rsidR="00735C51" w:rsidRPr="00735C51" w:rsidRDefault="008E6691" w:rsidP="003E7805">
            <w:pPr>
              <w:ind w:firstLine="28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873E8F" w:rsidRPr="00873E8F">
              <w:rPr>
                <w:b/>
                <w:lang w:eastAsia="ru-RU"/>
              </w:rPr>
              <w:t xml:space="preserve">способ принятия </w:t>
            </w:r>
            <w:r w:rsidR="00532135">
              <w:rPr>
                <w:b/>
                <w:lang w:eastAsia="ru-RU"/>
              </w:rPr>
              <w:t>решения О</w:t>
            </w:r>
            <w:r w:rsidR="00873E8F" w:rsidRPr="00873E8F">
              <w:rPr>
                <w:b/>
                <w:lang w:eastAsia="ru-RU"/>
              </w:rPr>
              <w:t>бщим собранием акционеров -</w:t>
            </w:r>
            <w:r w:rsidR="00873E8F">
              <w:rPr>
                <w:lang w:eastAsia="ru-RU"/>
              </w:rPr>
              <w:t xml:space="preserve"> </w:t>
            </w:r>
            <w:r w:rsidRPr="00735C51">
              <w:rPr>
                <w:b/>
                <w:lang w:eastAsia="ru-RU"/>
              </w:rPr>
              <w:t>заочное голосование</w:t>
            </w:r>
            <w:r w:rsidRPr="00735C51">
              <w:rPr>
                <w:lang w:eastAsia="ru-RU"/>
              </w:rPr>
              <w:t>.</w:t>
            </w:r>
          </w:p>
          <w:p w:rsidR="00735C51" w:rsidRPr="00735C51" w:rsidRDefault="008E6691" w:rsidP="003E7805">
            <w:pPr>
              <w:ind w:firstLine="28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 xml:space="preserve">2.3. </w:t>
            </w:r>
            <w:r w:rsidR="005E77ED" w:rsidRPr="00735C51">
              <w:rPr>
                <w:lang w:eastAsia="ru-RU"/>
              </w:rPr>
              <w:t>Д</w:t>
            </w:r>
            <w:r w:rsidRPr="00735C51">
              <w:rPr>
                <w:lang w:eastAsia="ru-RU"/>
              </w:rPr>
              <w:t>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</w:t>
            </w:r>
            <w:r w:rsidR="002515CE" w:rsidRPr="00735C51">
              <w:rPr>
                <w:lang w:eastAsia="ru-RU"/>
              </w:rPr>
              <w:t>ет" - также адрес сайта в сети «</w:t>
            </w:r>
            <w:r w:rsidRPr="00735C51">
              <w:rPr>
                <w:lang w:eastAsia="ru-RU"/>
              </w:rPr>
              <w:t>Интернет</w:t>
            </w:r>
            <w:r w:rsidR="002515CE" w:rsidRPr="00735C51">
              <w:rPr>
                <w:lang w:eastAsia="ru-RU"/>
              </w:rPr>
              <w:t>»</w:t>
            </w:r>
            <w:r w:rsidRPr="00735C51">
              <w:rPr>
                <w:lang w:eastAsia="ru-RU"/>
              </w:rPr>
              <w:t xml:space="preserve">, на котором заполняются электронные формы бюллетеней для голосования: </w:t>
            </w:r>
          </w:p>
          <w:p w:rsidR="00735C51" w:rsidRPr="00343240" w:rsidRDefault="00735C5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 xml:space="preserve">дата проведения: </w:t>
            </w:r>
            <w:r w:rsidR="003E7805" w:rsidRPr="003E7805">
              <w:rPr>
                <w:b/>
                <w:lang w:eastAsia="ru-RU"/>
              </w:rPr>
              <w:t>д</w:t>
            </w:r>
            <w:r w:rsidR="003E7805" w:rsidRPr="003E7805">
              <w:rPr>
                <w:b/>
                <w:lang w:eastAsia="ru-RU"/>
              </w:rPr>
              <w:t>ата окончания приема бюллетеней для голосования</w:t>
            </w:r>
            <w:r w:rsidR="003E7805">
              <w:rPr>
                <w:b/>
                <w:lang w:eastAsia="ru-RU"/>
              </w:rPr>
              <w:t xml:space="preserve"> -</w:t>
            </w:r>
            <w:r w:rsidR="003E7805" w:rsidRPr="00735C51">
              <w:rPr>
                <w:lang w:eastAsia="ru-RU"/>
              </w:rPr>
              <w:t xml:space="preserve"> </w:t>
            </w:r>
            <w:r w:rsidR="002E0C1B">
              <w:rPr>
                <w:b/>
                <w:color w:val="000000"/>
                <w:shd w:val="clear" w:color="auto" w:fill="FFFFFF"/>
              </w:rPr>
              <w:t>23 июня</w:t>
            </w:r>
            <w:r w:rsidRPr="00343240">
              <w:rPr>
                <w:b/>
                <w:color w:val="000000"/>
                <w:shd w:val="clear" w:color="auto" w:fill="FFFFFF"/>
              </w:rPr>
              <w:t xml:space="preserve"> 2025 года; </w:t>
            </w:r>
          </w:p>
          <w:p w:rsidR="00735C51" w:rsidRPr="00343240" w:rsidRDefault="00735C5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>место проведения: не применимо</w:t>
            </w:r>
            <w:r w:rsidR="003E7805">
              <w:rPr>
                <w:b/>
                <w:color w:val="000000"/>
                <w:shd w:val="clear" w:color="auto" w:fill="FFFFFF"/>
              </w:rPr>
              <w:t xml:space="preserve"> (</w:t>
            </w:r>
            <w:r w:rsidR="003E7805" w:rsidRPr="00873E8F">
              <w:rPr>
                <w:b/>
                <w:lang w:eastAsia="ru-RU"/>
              </w:rPr>
              <w:t xml:space="preserve">способ принятия </w:t>
            </w:r>
            <w:r w:rsidR="00532135">
              <w:rPr>
                <w:b/>
                <w:lang w:eastAsia="ru-RU"/>
              </w:rPr>
              <w:t>решения О</w:t>
            </w:r>
            <w:r w:rsidR="003E7805" w:rsidRPr="00873E8F">
              <w:rPr>
                <w:b/>
                <w:lang w:eastAsia="ru-RU"/>
              </w:rPr>
              <w:t>бщим собранием акционеров -</w:t>
            </w:r>
            <w:r w:rsidR="003E7805">
              <w:rPr>
                <w:lang w:eastAsia="ru-RU"/>
              </w:rPr>
              <w:t xml:space="preserve"> </w:t>
            </w:r>
            <w:r w:rsidR="003E7805" w:rsidRPr="00735C51">
              <w:rPr>
                <w:b/>
                <w:lang w:eastAsia="ru-RU"/>
              </w:rPr>
              <w:t>заочное голосование</w:t>
            </w:r>
            <w:r w:rsidR="003E7805">
              <w:rPr>
                <w:b/>
                <w:lang w:eastAsia="ru-RU"/>
              </w:rPr>
              <w:t>)</w:t>
            </w:r>
            <w:r w:rsidRPr="00343240">
              <w:rPr>
                <w:b/>
                <w:color w:val="000000"/>
                <w:shd w:val="clear" w:color="auto" w:fill="FFFFFF"/>
              </w:rPr>
              <w:t xml:space="preserve">; </w:t>
            </w:r>
          </w:p>
          <w:p w:rsidR="00735C51" w:rsidRPr="00343240" w:rsidRDefault="00735C5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>время проведения: не применимо</w:t>
            </w:r>
            <w:r w:rsidR="003E7805" w:rsidRPr="00873E8F">
              <w:rPr>
                <w:b/>
                <w:lang w:eastAsia="ru-RU"/>
              </w:rPr>
              <w:t xml:space="preserve"> </w:t>
            </w:r>
            <w:r w:rsidR="003E7805">
              <w:rPr>
                <w:b/>
                <w:lang w:eastAsia="ru-RU"/>
              </w:rPr>
              <w:t>(</w:t>
            </w:r>
            <w:r w:rsidR="003E7805" w:rsidRPr="00873E8F">
              <w:rPr>
                <w:b/>
                <w:lang w:eastAsia="ru-RU"/>
              </w:rPr>
              <w:t xml:space="preserve">способ принятия </w:t>
            </w:r>
            <w:r w:rsidR="00532135">
              <w:rPr>
                <w:b/>
                <w:lang w:eastAsia="ru-RU"/>
              </w:rPr>
              <w:t>решения О</w:t>
            </w:r>
            <w:r w:rsidR="003E7805" w:rsidRPr="00873E8F">
              <w:rPr>
                <w:b/>
                <w:lang w:eastAsia="ru-RU"/>
              </w:rPr>
              <w:t>бщим собранием акционеров -</w:t>
            </w:r>
            <w:r w:rsidR="003E7805">
              <w:rPr>
                <w:lang w:eastAsia="ru-RU"/>
              </w:rPr>
              <w:t xml:space="preserve"> </w:t>
            </w:r>
            <w:r w:rsidR="003E7805" w:rsidRPr="00735C51">
              <w:rPr>
                <w:b/>
                <w:lang w:eastAsia="ru-RU"/>
              </w:rPr>
              <w:t>заочное голосование</w:t>
            </w:r>
            <w:r w:rsidR="003E7805">
              <w:rPr>
                <w:b/>
                <w:lang w:eastAsia="ru-RU"/>
              </w:rPr>
              <w:t>)</w:t>
            </w:r>
            <w:r w:rsidRPr="00343240">
              <w:rPr>
                <w:b/>
                <w:color w:val="000000"/>
                <w:shd w:val="clear" w:color="auto" w:fill="FFFFFF"/>
              </w:rPr>
              <w:t>;</w:t>
            </w:r>
          </w:p>
          <w:p w:rsidR="002E0C1B" w:rsidRPr="002E0C1B" w:rsidRDefault="00735C51" w:rsidP="003E7805">
            <w:pPr>
              <w:ind w:firstLine="284"/>
              <w:jc w:val="both"/>
              <w:rPr>
                <w:b/>
              </w:rPr>
            </w:pPr>
            <w:r w:rsidRPr="00343240">
              <w:rPr>
                <w:b/>
                <w:color w:val="000000"/>
                <w:shd w:val="clear" w:color="auto" w:fill="FFFFFF"/>
              </w:rPr>
              <w:t xml:space="preserve">почтовый адрес для направления заполненных бюллетеней для голосования: </w:t>
            </w:r>
            <w:r w:rsidR="002E0C1B">
              <w:rPr>
                <w:b/>
              </w:rPr>
              <w:t xml:space="preserve">196605, г. Санкт-Петербург, </w:t>
            </w:r>
            <w:r w:rsidR="002E0C1B" w:rsidRPr="002E0C1B">
              <w:rPr>
                <w:b/>
              </w:rPr>
              <w:t>вн.тер.г. поселок Шушары, ш. Петербургское, д. 66, к. 1, литера А, этаж 7, помещ. 36-Н, каб. 701, ПАО «ОГК-2».</w:t>
            </w:r>
          </w:p>
          <w:p w:rsidR="00735C51" w:rsidRPr="00343240" w:rsidRDefault="002E0C1B" w:rsidP="003E7805">
            <w:pPr>
              <w:ind w:firstLine="284"/>
              <w:jc w:val="both"/>
              <w:rPr>
                <w:b/>
                <w:lang w:eastAsia="ru-RU"/>
              </w:rPr>
            </w:pPr>
            <w:r>
              <w:rPr>
                <w:b/>
                <w:color w:val="000000"/>
                <w:shd w:val="clear" w:color="auto" w:fill="FFFFFF"/>
              </w:rPr>
              <w:t>а</w:t>
            </w:r>
            <w:r w:rsidR="00735C51" w:rsidRPr="00343240">
              <w:rPr>
                <w:b/>
                <w:color w:val="000000"/>
                <w:shd w:val="clear" w:color="auto" w:fill="FFFFFF"/>
              </w:rPr>
              <w:t>дрес электронной почты для направления заполненных бюллетеней для голосования: не используется;</w:t>
            </w:r>
          </w:p>
          <w:p w:rsidR="002E0C1B" w:rsidRPr="002E0C1B" w:rsidRDefault="00735C51" w:rsidP="003E7805">
            <w:pPr>
              <w:pStyle w:val="32"/>
              <w:tabs>
                <w:tab w:val="left" w:pos="426"/>
              </w:tabs>
              <w:ind w:firstLine="284"/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2E0C1B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адрес сайта в сети Интернет, на котором заполняются электронные формы бюллетеней для голосования: </w:t>
            </w:r>
            <w:r w:rsidR="002E0C1B" w:rsidRPr="002E0C1B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э</w:t>
            </w:r>
            <w:r w:rsidR="002E0C1B" w:rsidRPr="002E0C1B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лектронная форма бюллетеней может быть заполнена на сайте регистратора www.draga.ru в информационно-телекоммуникационной сети Интернет в разделе Акционерам =&gt; Услуги =&gt; Участие в собрании акционеров =&gt; Заполнить электронную форму бюллетеня =&gt; Сервис «Личный кабинет акционера» (ПАО «ОГК-2») или по ссылке: https://draga.ru/akcioneram/uslugi/uchastie-v-sobranii-akcionerov/golosovanie/pao-ogk-2/  (для участия в электронном голосовании акционер ПАО «ОГК-2» должен получить доступ к сервису «Личный кабинет акционера». С порядком получения доступа можно ознакомиться на странице https://draga.ru/akcioneram/jelektronnye-servisy/lichnyj-kabinet-akcionera/).</w:t>
            </w:r>
          </w:p>
          <w:p w:rsidR="00735C51" w:rsidRPr="00735C51" w:rsidRDefault="00735C51" w:rsidP="003E780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/>
                <w:spacing w:val="-4"/>
              </w:rPr>
            </w:pPr>
            <w:r w:rsidRPr="00735C51">
              <w:rPr>
                <w:rFonts w:eastAsia="Calibri"/>
                <w:b/>
                <w:spacing w:val="-4"/>
              </w:rPr>
              <w:t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</w:t>
            </w:r>
            <w:r w:rsidR="00532135">
              <w:rPr>
                <w:rFonts w:eastAsia="Calibri"/>
                <w:b/>
                <w:spacing w:val="-4"/>
              </w:rPr>
              <w:t xml:space="preserve"> в Общем с</w:t>
            </w:r>
            <w:r w:rsidRPr="00735C51">
              <w:rPr>
                <w:rFonts w:eastAsia="Calibri"/>
                <w:b/>
                <w:spacing w:val="-4"/>
              </w:rPr>
              <w:t>обрании</w:t>
            </w:r>
            <w:r w:rsidR="00532135">
              <w:rPr>
                <w:rFonts w:eastAsia="Calibri"/>
                <w:b/>
                <w:spacing w:val="-4"/>
              </w:rPr>
              <w:t xml:space="preserve"> акционеров</w:t>
            </w:r>
            <w:r w:rsidRPr="00735C51">
              <w:rPr>
                <w:rFonts w:eastAsia="Calibri"/>
                <w:b/>
                <w:spacing w:val="-4"/>
              </w:rPr>
              <w:t xml:space="preserve"> и осуществить право голоса в порядке, установленном ст. 8.9. Федерального закона «О рынке ценных бумаг», с помощью электронных средств через депозитарную систему учета</w:t>
            </w:r>
            <w:r w:rsidRPr="00735C51">
              <w:rPr>
                <w:rFonts w:eastAsia="Calibri"/>
                <w:spacing w:val="-4"/>
              </w:rPr>
              <w:t>.</w:t>
            </w:r>
          </w:p>
          <w:p w:rsidR="00B04CE2" w:rsidRDefault="005E77ED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735C51">
              <w:rPr>
                <w:lang w:eastAsia="ru-RU"/>
              </w:rPr>
              <w:t>2.4. В</w:t>
            </w:r>
            <w:r w:rsidR="008E6691" w:rsidRPr="00735C51">
              <w:rPr>
                <w:lang w:eastAsia="ru-RU"/>
              </w:rPr>
              <w:t xml:space="preserve">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="008E6691" w:rsidRPr="00735C51">
              <w:rPr>
                <w:b/>
                <w:lang w:eastAsia="ru-RU"/>
              </w:rPr>
              <w:t>не применимо</w:t>
            </w:r>
            <w:r w:rsidR="00B04CE2">
              <w:rPr>
                <w:b/>
                <w:lang w:eastAsia="ru-RU"/>
              </w:rPr>
              <w:t xml:space="preserve"> </w:t>
            </w:r>
            <w:r w:rsidR="00B04CE2">
              <w:rPr>
                <w:b/>
                <w:lang w:eastAsia="ru-RU"/>
              </w:rPr>
              <w:t>(</w:t>
            </w:r>
            <w:r w:rsidR="00B04CE2" w:rsidRPr="00873E8F">
              <w:rPr>
                <w:b/>
                <w:lang w:eastAsia="ru-RU"/>
              </w:rPr>
              <w:t xml:space="preserve">способ принятия </w:t>
            </w:r>
            <w:r w:rsidR="00532135">
              <w:rPr>
                <w:b/>
                <w:lang w:eastAsia="ru-RU"/>
              </w:rPr>
              <w:t>решения О</w:t>
            </w:r>
            <w:r w:rsidR="00B04CE2" w:rsidRPr="00873E8F">
              <w:rPr>
                <w:b/>
                <w:lang w:eastAsia="ru-RU"/>
              </w:rPr>
              <w:t>бщим собранием акционеров -</w:t>
            </w:r>
            <w:r w:rsidR="00B04CE2">
              <w:rPr>
                <w:lang w:eastAsia="ru-RU"/>
              </w:rPr>
              <w:t xml:space="preserve"> </w:t>
            </w:r>
            <w:r w:rsidR="00B04CE2" w:rsidRPr="00735C51">
              <w:rPr>
                <w:b/>
                <w:lang w:eastAsia="ru-RU"/>
              </w:rPr>
              <w:t>заочное голосование</w:t>
            </w:r>
            <w:r w:rsidR="00B04CE2">
              <w:rPr>
                <w:b/>
                <w:lang w:eastAsia="ru-RU"/>
              </w:rPr>
              <w:t>)</w:t>
            </w:r>
            <w:r w:rsidR="008E6691" w:rsidRPr="00735C51">
              <w:rPr>
                <w:lang w:eastAsia="ru-RU"/>
              </w:rPr>
              <w:t>.</w:t>
            </w:r>
            <w:r w:rsidR="00735C51" w:rsidRPr="00735C51">
              <w:rPr>
                <w:lang w:eastAsia="ru-RU"/>
              </w:rPr>
              <w:t xml:space="preserve"> </w:t>
            </w:r>
          </w:p>
          <w:p w:rsidR="008E6691" w:rsidRPr="00735C51" w:rsidRDefault="005E77ED" w:rsidP="003E7805">
            <w:pPr>
              <w:ind w:firstLine="284"/>
              <w:jc w:val="both"/>
              <w:rPr>
                <w:b/>
                <w:lang w:eastAsia="ru-RU"/>
              </w:rPr>
            </w:pPr>
            <w:r w:rsidRPr="00735C51">
              <w:rPr>
                <w:lang w:eastAsia="ru-RU"/>
              </w:rPr>
              <w:t>2.5. Д</w:t>
            </w:r>
            <w:r w:rsidR="008E6691" w:rsidRPr="00735C51">
              <w:rPr>
                <w:lang w:eastAsia="ru-RU"/>
              </w:rPr>
              <w:t xml:space="preserve">ата окончания приема бюллетеней для голосования (в случае проведения общего собрания в форме заочного голосования): </w:t>
            </w:r>
            <w:r w:rsidR="008E6691" w:rsidRPr="00735C51">
              <w:rPr>
                <w:b/>
                <w:lang w:eastAsia="ru-RU"/>
              </w:rPr>
              <w:t>2</w:t>
            </w:r>
            <w:r w:rsidR="002E0C1B">
              <w:rPr>
                <w:b/>
                <w:lang w:eastAsia="ru-RU"/>
              </w:rPr>
              <w:t xml:space="preserve">3 июня </w:t>
            </w:r>
            <w:r w:rsidR="008E6691" w:rsidRPr="00735C51">
              <w:rPr>
                <w:b/>
                <w:lang w:eastAsia="ru-RU"/>
              </w:rPr>
              <w:t>2025 г.</w:t>
            </w:r>
          </w:p>
          <w:p w:rsidR="008E6691" w:rsidRPr="00735C51" w:rsidRDefault="005E77ED" w:rsidP="003E7805">
            <w:pPr>
              <w:ind w:firstLine="28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>2.6. Д</w:t>
            </w:r>
            <w:r w:rsidR="008E6691" w:rsidRPr="00735C51">
              <w:rPr>
                <w:lang w:eastAsia="ru-RU"/>
              </w:rPr>
              <w:t xml:space="preserve">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2E0C1B">
              <w:rPr>
                <w:b/>
                <w:color w:val="000000"/>
                <w:spacing w:val="-4"/>
                <w:lang w:eastAsia="ru-RU"/>
              </w:rPr>
              <w:t>29 мая</w:t>
            </w:r>
            <w:r w:rsidR="008E6691" w:rsidRPr="00735C51">
              <w:rPr>
                <w:b/>
                <w:color w:val="000000"/>
                <w:spacing w:val="-4"/>
                <w:lang w:eastAsia="ru-RU"/>
              </w:rPr>
              <w:t xml:space="preserve"> 2025 г</w:t>
            </w:r>
            <w:r w:rsidR="008E6691" w:rsidRPr="00735C51">
              <w:rPr>
                <w:color w:val="000000"/>
                <w:spacing w:val="-4"/>
                <w:lang w:eastAsia="ru-RU"/>
              </w:rPr>
              <w:t>.</w:t>
            </w:r>
          </w:p>
          <w:p w:rsidR="008E6691" w:rsidRDefault="005E77ED" w:rsidP="003E7805">
            <w:pPr>
              <w:tabs>
                <w:tab w:val="left" w:pos="993"/>
              </w:tabs>
              <w:ind w:firstLine="284"/>
              <w:contextualSpacing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>2.7. П</w:t>
            </w:r>
            <w:r w:rsidR="008E6691" w:rsidRPr="00735C51">
              <w:rPr>
                <w:lang w:eastAsia="ru-RU"/>
              </w:rPr>
              <w:t xml:space="preserve">овестка дня общего собрания участников (акционеров) эмитента: 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t>1) Об утверждении годового отчета Общества за 2024 год.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t>2) Об утверждении годовой бухгалтерской (финансовой) отчетности Общества за 2024 год.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t>3) О распределении прибыли (в том числе о выплате (объявлении) дивидендов) и убытков Общества по результатам 2024 года.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t>4) Об избрании членов Совета директоров Общества.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t>5) Об утверждении Устава Общества в новой редакции.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lastRenderedPageBreak/>
              <w:t xml:space="preserve">6) Об утверждении внутренних документов, регулирующих деятельность органов Общества, в новой редакции. </w:t>
            </w:r>
          </w:p>
          <w:p w:rsidR="00483D31" w:rsidRPr="00483D31" w:rsidRDefault="00483D31" w:rsidP="003E7805">
            <w:pPr>
              <w:ind w:firstLine="284"/>
              <w:jc w:val="both"/>
              <w:rPr>
                <w:b/>
                <w:color w:val="000000"/>
                <w:shd w:val="clear" w:color="auto" w:fill="FFFFFF"/>
              </w:rPr>
            </w:pPr>
            <w:r w:rsidRPr="00483D31">
              <w:rPr>
                <w:b/>
                <w:color w:val="000000"/>
                <w:shd w:val="clear" w:color="auto" w:fill="FFFFFF"/>
              </w:rPr>
              <w:t>7) О назначении аудиторской организации Общества.</w:t>
            </w:r>
          </w:p>
          <w:p w:rsidR="00483D31" w:rsidRPr="00735C51" w:rsidRDefault="00483D31" w:rsidP="003E7805">
            <w:pPr>
              <w:tabs>
                <w:tab w:val="left" w:pos="993"/>
              </w:tabs>
              <w:ind w:firstLine="284"/>
              <w:contextualSpacing/>
              <w:jc w:val="both"/>
              <w:rPr>
                <w:i/>
                <w:color w:val="000000"/>
                <w:spacing w:val="-4"/>
                <w:lang w:eastAsia="ru-RU"/>
              </w:rPr>
            </w:pPr>
            <w:bookmarkStart w:id="0" w:name="_GoBack"/>
            <w:bookmarkEnd w:id="0"/>
          </w:p>
          <w:p w:rsidR="00AD7D97" w:rsidRDefault="005E77ED" w:rsidP="003E7805">
            <w:pPr>
              <w:tabs>
                <w:tab w:val="left" w:pos="426"/>
                <w:tab w:val="left" w:pos="851"/>
                <w:tab w:val="left" w:pos="993"/>
              </w:tabs>
              <w:ind w:firstLine="284"/>
              <w:jc w:val="both"/>
              <w:rPr>
                <w:rFonts w:eastAsia="Calibri"/>
                <w:bCs/>
                <w:spacing w:val="-4"/>
              </w:rPr>
            </w:pPr>
            <w:r w:rsidRPr="00735C51">
              <w:rPr>
                <w:lang w:eastAsia="ru-RU"/>
              </w:rPr>
              <w:t>2.8. П</w:t>
            </w:r>
            <w:r w:rsidR="008E6691" w:rsidRPr="00735C51">
              <w:rPr>
                <w:lang w:eastAsia="ru-RU"/>
              </w:rPr>
              <w:t>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</w:t>
            </w:r>
            <w:r w:rsidR="00D132A5" w:rsidRPr="00735C51">
              <w:rPr>
                <w:lang w:eastAsia="ru-RU"/>
              </w:rPr>
              <w:t>орому с ней можно ознакомиться:</w:t>
            </w:r>
            <w:r w:rsidR="001C26BB" w:rsidRPr="00735C51">
              <w:rPr>
                <w:rFonts w:eastAsia="Calibri"/>
                <w:bCs/>
                <w:spacing w:val="-4"/>
              </w:rPr>
              <w:t xml:space="preserve"> </w:t>
            </w:r>
          </w:p>
          <w:p w:rsidR="00483D31" w:rsidRPr="00483D31" w:rsidRDefault="00483D31" w:rsidP="003E7805">
            <w:pPr>
              <w:pStyle w:val="32"/>
              <w:tabs>
                <w:tab w:val="left" w:pos="567"/>
              </w:tabs>
              <w:ind w:firstLine="284"/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483D31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Определить, что с указанной информацией (материалами) лица, имеющие пра</w:t>
            </w:r>
            <w:r w:rsidR="00532135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во голоса при принятии решений Общего собрания акционеров</w:t>
            </w:r>
            <w:r w:rsidRPr="00483D31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, могут ознакомиться в тече</w:t>
            </w:r>
            <w:r w:rsidR="00532135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ние 20 дней до даты проведения Общего с</w:t>
            </w:r>
            <w:r w:rsidRPr="00483D31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обрания</w:t>
            </w:r>
            <w:r w:rsidR="00532135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акционеров </w:t>
            </w:r>
            <w:r w:rsidRPr="00483D31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в рабочие дни с 09 часов 00 минут до 16 часов 00 минут по адресу: г. Санкт-Петербург, вн.тер.г. поселок Шушары, ш. Петербургское, д.66, к. 1, литера А (ПАО «ОГК-2»).</w:t>
            </w:r>
          </w:p>
          <w:p w:rsidR="00483D31" w:rsidRPr="00483D31" w:rsidRDefault="00483D31" w:rsidP="003E7805">
            <w:pPr>
              <w:pStyle w:val="32"/>
              <w:tabs>
                <w:tab w:val="left" w:pos="426"/>
              </w:tabs>
              <w:ind w:firstLine="284"/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483D31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  <w:shd w:val="clear" w:color="auto" w:fill="FFFFFF"/>
                <w:lang w:eastAsia="zh-CN"/>
              </w:rPr>
              <w:t>Определить, что указанная информация (материалы) также рассылается номинальным держателям акций в электронном виде не позднее «02» июня 2025 г.</w:t>
            </w:r>
          </w:p>
          <w:p w:rsidR="008E6691" w:rsidRPr="00735C51" w:rsidRDefault="005E77ED" w:rsidP="003E7805">
            <w:pPr>
              <w:ind w:firstLine="284"/>
              <w:jc w:val="both"/>
              <w:rPr>
                <w:lang w:eastAsia="ru-RU"/>
              </w:rPr>
            </w:pPr>
            <w:r w:rsidRPr="00735C51">
              <w:rPr>
                <w:lang w:eastAsia="ru-RU"/>
              </w:rPr>
              <w:t>2.9. И</w:t>
            </w:r>
            <w:r w:rsidR="008E6691" w:rsidRPr="00735C51">
              <w:rPr>
                <w:lang w:eastAsia="ru-RU"/>
              </w:rPr>
              <w:t>дентификационные признаки ценных бумаг (акций, владельцы которых имеют право на участие в общем</w:t>
            </w:r>
            <w:r w:rsidR="001C26BB" w:rsidRPr="00735C51">
              <w:rPr>
                <w:lang w:eastAsia="ru-RU"/>
              </w:rPr>
              <w:t xml:space="preserve"> собрании акционеров эмитента): </w:t>
            </w:r>
            <w:r w:rsidR="001C26BB" w:rsidRPr="00735C51">
              <w:rPr>
                <w:b/>
                <w:color w:val="000000"/>
              </w:rPr>
              <w:t xml:space="preserve">акции обыкновенные, государственный регистрационный </w:t>
            </w:r>
            <w:r w:rsidR="00450859">
              <w:rPr>
                <w:b/>
                <w:color w:val="000000"/>
              </w:rPr>
              <w:br/>
            </w:r>
            <w:r w:rsidR="001C26BB" w:rsidRPr="00735C51">
              <w:rPr>
                <w:b/>
                <w:color w:val="000000"/>
              </w:rPr>
              <w:t>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ESVXFR.</w:t>
            </w:r>
          </w:p>
          <w:p w:rsidR="00B16951" w:rsidRPr="00735C51" w:rsidRDefault="005E77ED" w:rsidP="003E7805">
            <w:pPr>
              <w:ind w:firstLine="284"/>
              <w:jc w:val="both"/>
              <w:rPr>
                <w:b/>
                <w:color w:val="000000"/>
              </w:rPr>
            </w:pPr>
            <w:r w:rsidRPr="00735C51">
              <w:rPr>
                <w:lang w:eastAsia="ru-RU"/>
              </w:rPr>
              <w:t>2.10. Л</w:t>
            </w:r>
            <w:r w:rsidR="008E6691" w:rsidRPr="00735C51">
              <w:rPr>
                <w:lang w:eastAsia="ru-RU"/>
              </w:rPr>
              <w:t>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</w:t>
            </w:r>
            <w:r w:rsidR="001C26BB" w:rsidRPr="00735C51">
              <w:rPr>
                <w:lang w:eastAsia="ru-RU"/>
              </w:rPr>
              <w:t xml:space="preserve">ором принято указанное решение: </w:t>
            </w:r>
            <w:r w:rsidR="001C26BB" w:rsidRPr="00735C51">
              <w:rPr>
                <w:b/>
                <w:color w:val="000000"/>
              </w:rPr>
              <w:t xml:space="preserve">решение Совета директоров ПАО «ОГК-2» от </w:t>
            </w:r>
            <w:r w:rsidR="00483D31">
              <w:rPr>
                <w:b/>
                <w:color w:val="000000"/>
              </w:rPr>
              <w:t>16.05</w:t>
            </w:r>
            <w:r w:rsidR="001C26BB" w:rsidRPr="00735C51">
              <w:rPr>
                <w:b/>
                <w:color w:val="000000"/>
              </w:rPr>
              <w:t xml:space="preserve">.2025 </w:t>
            </w:r>
            <w:r w:rsidR="002515CE" w:rsidRPr="00735C51">
              <w:rPr>
                <w:b/>
                <w:color w:val="000000"/>
              </w:rPr>
              <w:br/>
            </w:r>
            <w:r w:rsidR="00873E8F">
              <w:rPr>
                <w:b/>
                <w:color w:val="000000"/>
              </w:rPr>
              <w:t>(п</w:t>
            </w:r>
            <w:r w:rsidR="001C26BB" w:rsidRPr="00735C51">
              <w:rPr>
                <w:b/>
                <w:color w:val="000000"/>
              </w:rPr>
              <w:t xml:space="preserve">ротокол от </w:t>
            </w:r>
            <w:r w:rsidR="00483D31">
              <w:rPr>
                <w:b/>
                <w:color w:val="000000"/>
              </w:rPr>
              <w:t>16.05</w:t>
            </w:r>
            <w:r w:rsidR="001C26BB" w:rsidRPr="00735C51">
              <w:rPr>
                <w:b/>
                <w:color w:val="000000"/>
              </w:rPr>
              <w:t>.2025 № 34</w:t>
            </w:r>
            <w:r w:rsidR="00483D31">
              <w:rPr>
                <w:b/>
                <w:color w:val="000000"/>
              </w:rPr>
              <w:t>7</w:t>
            </w:r>
            <w:r w:rsidR="001C26BB" w:rsidRPr="00735C51">
              <w:rPr>
                <w:b/>
                <w:color w:val="000000"/>
              </w:rPr>
              <w:t>).</w:t>
            </w:r>
          </w:p>
          <w:p w:rsidR="002515CE" w:rsidRPr="00735C51" w:rsidRDefault="002515CE" w:rsidP="003E7805">
            <w:pPr>
              <w:pStyle w:val="aff"/>
              <w:spacing w:before="0" w:after="0"/>
              <w:ind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35C51">
              <w:rPr>
                <w:rFonts w:eastAsia="Times New Roman"/>
                <w:sz w:val="20"/>
                <w:szCs w:val="20"/>
                <w:lang w:val="ru-RU" w:eastAsia="ru-RU"/>
              </w:rPr>
              <w:t xml:space="preserve">2.11. 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суда: </w:t>
            </w:r>
            <w:r w:rsidRPr="00735C51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не применимо.</w:t>
            </w:r>
          </w:p>
        </w:tc>
      </w:tr>
    </w:tbl>
    <w:p w:rsidR="007953C5" w:rsidRPr="00735C51" w:rsidRDefault="007953C5" w:rsidP="007953C5"/>
    <w:tbl>
      <w:tblPr>
        <w:tblW w:w="10344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251"/>
      </w:tblGrid>
      <w:tr w:rsidR="00ED697E" w:rsidRPr="00735C51" w:rsidTr="00746BE7">
        <w:trPr>
          <w:cantSplit/>
          <w:trHeight w:val="248"/>
        </w:trPr>
        <w:tc>
          <w:tcPr>
            <w:tcW w:w="103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735C51" w:rsidRDefault="00ED697E" w:rsidP="00EB3B50">
            <w:pPr>
              <w:jc w:val="center"/>
            </w:pPr>
            <w:r w:rsidRPr="00735C51">
              <w:t>3. Подпись</w:t>
            </w:r>
          </w:p>
        </w:tc>
      </w:tr>
      <w:tr w:rsidR="00ED697E" w:rsidRPr="00735C51" w:rsidTr="00746BE7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735C51" w:rsidRDefault="00ED697E" w:rsidP="00746BE7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 w:rsidRPr="00735C51">
              <w:rPr>
                <w:rFonts w:cs="Times New Roman"/>
                <w:b/>
              </w:rPr>
              <w:t xml:space="preserve">3.1. </w:t>
            </w:r>
            <w:r w:rsidRPr="00735C51"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735C51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Pr="00735C51" w:rsidRDefault="00675B9E" w:rsidP="00746BE7">
            <w:pPr>
              <w:pStyle w:val="af3"/>
              <w:rPr>
                <w:rFonts w:cs="Times New Roman"/>
              </w:rPr>
            </w:pPr>
            <w:r w:rsidRPr="00735C51"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735C51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735C51" w:rsidRDefault="00ED697E" w:rsidP="00746BE7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735C51" w:rsidRDefault="00ED697E" w:rsidP="00746BE7">
            <w:pPr>
              <w:jc w:val="right"/>
            </w:pPr>
            <w:r w:rsidRPr="00735C51">
              <w:rPr>
                <w:b/>
              </w:rPr>
              <w:t>Е.Н. Егорова</w:t>
            </w:r>
          </w:p>
        </w:tc>
        <w:tc>
          <w:tcPr>
            <w:tcW w:w="2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735C51" w:rsidRDefault="00ED697E" w:rsidP="00746BE7">
            <w:pPr>
              <w:rPr>
                <w:b/>
              </w:rPr>
            </w:pPr>
          </w:p>
        </w:tc>
      </w:tr>
      <w:tr w:rsidR="00ED697E" w:rsidRPr="00735C51" w:rsidTr="00746BE7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735C51" w:rsidRDefault="00ED697E" w:rsidP="00746BE7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ED697E" w:rsidRPr="00735C51" w:rsidRDefault="00ED697E" w:rsidP="00746BE7">
            <w:pPr>
              <w:jc w:val="center"/>
            </w:pPr>
            <w:r w:rsidRPr="00735C51">
              <w:t>(подпись)</w:t>
            </w:r>
          </w:p>
        </w:tc>
        <w:tc>
          <w:tcPr>
            <w:tcW w:w="3072" w:type="dxa"/>
          </w:tcPr>
          <w:p w:rsidR="00ED697E" w:rsidRPr="00735C51" w:rsidRDefault="00ED697E" w:rsidP="00746BE7"/>
        </w:tc>
        <w:tc>
          <w:tcPr>
            <w:tcW w:w="251" w:type="dxa"/>
            <w:tcBorders>
              <w:right w:val="single" w:sz="4" w:space="0" w:color="000000"/>
            </w:tcBorders>
          </w:tcPr>
          <w:p w:rsidR="00ED697E" w:rsidRPr="00735C51" w:rsidRDefault="00ED697E" w:rsidP="00746BE7"/>
        </w:tc>
      </w:tr>
      <w:tr w:rsidR="00ED697E" w:rsidRPr="00735C51" w:rsidTr="00746BE7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735C51" w:rsidRDefault="00ED697E" w:rsidP="00746BE7">
            <w:r w:rsidRPr="00735C51"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735C51" w:rsidRDefault="00873E8F" w:rsidP="00746BE7">
            <w:pPr>
              <w:jc w:val="center"/>
            </w:pPr>
            <w:r>
              <w:t>19</w:t>
            </w:r>
          </w:p>
        </w:tc>
        <w:tc>
          <w:tcPr>
            <w:tcW w:w="384" w:type="dxa"/>
            <w:vAlign w:val="bottom"/>
          </w:tcPr>
          <w:p w:rsidR="00ED697E" w:rsidRPr="00735C51" w:rsidRDefault="00ED697E" w:rsidP="00746BE7">
            <w:r w:rsidRPr="00735C51"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735C51" w:rsidRDefault="00ED697E" w:rsidP="00873E8F">
            <w:r w:rsidRPr="00735C51">
              <w:t xml:space="preserve"> </w:t>
            </w:r>
            <w:r w:rsidR="00873E8F">
              <w:t>мая</w:t>
            </w:r>
          </w:p>
        </w:tc>
        <w:tc>
          <w:tcPr>
            <w:tcW w:w="416" w:type="dxa"/>
            <w:vAlign w:val="bottom"/>
          </w:tcPr>
          <w:p w:rsidR="00ED697E" w:rsidRPr="00735C51" w:rsidRDefault="00ED697E" w:rsidP="00746BE7">
            <w:pPr>
              <w:jc w:val="right"/>
            </w:pPr>
            <w:r w:rsidRPr="00735C51"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735C51" w:rsidRDefault="00ED697E" w:rsidP="00746BE7">
            <w:r w:rsidRPr="00735C51">
              <w:t>2</w:t>
            </w:r>
            <w:r w:rsidR="00A22AE0" w:rsidRPr="00735C51">
              <w:t>5</w:t>
            </w:r>
          </w:p>
        </w:tc>
        <w:tc>
          <w:tcPr>
            <w:tcW w:w="1209" w:type="dxa"/>
            <w:vAlign w:val="bottom"/>
          </w:tcPr>
          <w:p w:rsidR="00ED697E" w:rsidRPr="00735C51" w:rsidRDefault="00ED697E" w:rsidP="00746BE7"/>
        </w:tc>
        <w:tc>
          <w:tcPr>
            <w:tcW w:w="1338" w:type="dxa"/>
            <w:vAlign w:val="bottom"/>
          </w:tcPr>
          <w:p w:rsidR="00ED697E" w:rsidRPr="00735C51" w:rsidRDefault="00ED697E" w:rsidP="00746BE7">
            <w:pPr>
              <w:jc w:val="center"/>
            </w:pPr>
          </w:p>
        </w:tc>
        <w:tc>
          <w:tcPr>
            <w:tcW w:w="3785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735C51" w:rsidRDefault="00ED697E" w:rsidP="00746BE7"/>
        </w:tc>
      </w:tr>
      <w:tr w:rsidR="00ED697E" w:rsidRPr="00735C51" w:rsidTr="00746BE7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735C51" w:rsidRDefault="00ED697E" w:rsidP="00746BE7"/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735C51" w:rsidRDefault="00ED697E" w:rsidP="00746BE7">
            <w:pPr>
              <w:jc w:val="center"/>
            </w:pPr>
          </w:p>
        </w:tc>
        <w:tc>
          <w:tcPr>
            <w:tcW w:w="378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735C51" w:rsidRDefault="00ED697E" w:rsidP="00746BE7"/>
        </w:tc>
      </w:tr>
    </w:tbl>
    <w:p w:rsidR="00ED697E" w:rsidRPr="00735C51" w:rsidRDefault="00ED697E" w:rsidP="007953C5"/>
    <w:sectPr w:rsidR="00ED697E" w:rsidRPr="00735C51" w:rsidSect="00C74AF9">
      <w:pgSz w:w="11906" w:h="16838"/>
      <w:pgMar w:top="737" w:right="794" w:bottom="794" w:left="1588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hit Devanagari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544"/>
    <w:multiLevelType w:val="hybridMultilevel"/>
    <w:tmpl w:val="119C05B8"/>
    <w:lvl w:ilvl="0" w:tplc="AD3A374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72316A"/>
    <w:multiLevelType w:val="hybridMultilevel"/>
    <w:tmpl w:val="35E2AD60"/>
    <w:lvl w:ilvl="0" w:tplc="FA427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C51FBA"/>
    <w:multiLevelType w:val="hybridMultilevel"/>
    <w:tmpl w:val="550E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434AD"/>
    <w:multiLevelType w:val="hybridMultilevel"/>
    <w:tmpl w:val="8DC65124"/>
    <w:lvl w:ilvl="0" w:tplc="62EA20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3CED966">
      <w:start w:val="1"/>
      <w:numFmt w:val="lowerLetter"/>
      <w:lvlText w:val="%2."/>
      <w:lvlJc w:val="left"/>
      <w:pPr>
        <w:ind w:left="1789" w:hanging="360"/>
      </w:pPr>
    </w:lvl>
    <w:lvl w:ilvl="2" w:tplc="BE7ACC9A">
      <w:start w:val="1"/>
      <w:numFmt w:val="lowerRoman"/>
      <w:lvlText w:val="%3."/>
      <w:lvlJc w:val="right"/>
      <w:pPr>
        <w:ind w:left="2509" w:hanging="180"/>
      </w:pPr>
    </w:lvl>
    <w:lvl w:ilvl="3" w:tplc="BFBC087E">
      <w:start w:val="1"/>
      <w:numFmt w:val="decimal"/>
      <w:lvlText w:val="%4."/>
      <w:lvlJc w:val="left"/>
      <w:pPr>
        <w:ind w:left="3229" w:hanging="360"/>
      </w:pPr>
    </w:lvl>
    <w:lvl w:ilvl="4" w:tplc="03E48554">
      <w:start w:val="1"/>
      <w:numFmt w:val="lowerLetter"/>
      <w:lvlText w:val="%5."/>
      <w:lvlJc w:val="left"/>
      <w:pPr>
        <w:ind w:left="3949" w:hanging="360"/>
      </w:pPr>
    </w:lvl>
    <w:lvl w:ilvl="5" w:tplc="7F6A682C">
      <w:start w:val="1"/>
      <w:numFmt w:val="lowerRoman"/>
      <w:lvlText w:val="%6."/>
      <w:lvlJc w:val="right"/>
      <w:pPr>
        <w:ind w:left="4669" w:hanging="180"/>
      </w:pPr>
    </w:lvl>
    <w:lvl w:ilvl="6" w:tplc="C17E8FB6">
      <w:start w:val="1"/>
      <w:numFmt w:val="decimal"/>
      <w:lvlText w:val="%7."/>
      <w:lvlJc w:val="left"/>
      <w:pPr>
        <w:ind w:left="5389" w:hanging="360"/>
      </w:pPr>
    </w:lvl>
    <w:lvl w:ilvl="7" w:tplc="A41C2E2C">
      <w:start w:val="1"/>
      <w:numFmt w:val="lowerLetter"/>
      <w:lvlText w:val="%8."/>
      <w:lvlJc w:val="left"/>
      <w:pPr>
        <w:ind w:left="6109" w:hanging="360"/>
      </w:pPr>
    </w:lvl>
    <w:lvl w:ilvl="8" w:tplc="D0F4A9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1C26BB"/>
    <w:rsid w:val="002515CE"/>
    <w:rsid w:val="002728FB"/>
    <w:rsid w:val="002E0C1B"/>
    <w:rsid w:val="00343240"/>
    <w:rsid w:val="00347ECF"/>
    <w:rsid w:val="003517BE"/>
    <w:rsid w:val="00391E4F"/>
    <w:rsid w:val="003A413F"/>
    <w:rsid w:val="003D0286"/>
    <w:rsid w:val="003E7805"/>
    <w:rsid w:val="00450859"/>
    <w:rsid w:val="00483C63"/>
    <w:rsid w:val="00483D31"/>
    <w:rsid w:val="00532135"/>
    <w:rsid w:val="005E77ED"/>
    <w:rsid w:val="005F4F60"/>
    <w:rsid w:val="0067023E"/>
    <w:rsid w:val="00675B9E"/>
    <w:rsid w:val="006B4A75"/>
    <w:rsid w:val="006E48B4"/>
    <w:rsid w:val="006F4A0C"/>
    <w:rsid w:val="00735C51"/>
    <w:rsid w:val="00746BE7"/>
    <w:rsid w:val="007953C5"/>
    <w:rsid w:val="00866993"/>
    <w:rsid w:val="00873E8F"/>
    <w:rsid w:val="008E6691"/>
    <w:rsid w:val="00A22AE0"/>
    <w:rsid w:val="00A42679"/>
    <w:rsid w:val="00A87A10"/>
    <w:rsid w:val="00AA7A5C"/>
    <w:rsid w:val="00AB0EA2"/>
    <w:rsid w:val="00AD7D97"/>
    <w:rsid w:val="00B04CE2"/>
    <w:rsid w:val="00B16951"/>
    <w:rsid w:val="00C16BBA"/>
    <w:rsid w:val="00C74AF9"/>
    <w:rsid w:val="00D00B14"/>
    <w:rsid w:val="00D132A5"/>
    <w:rsid w:val="00D310C6"/>
    <w:rsid w:val="00D3581F"/>
    <w:rsid w:val="00EB2268"/>
    <w:rsid w:val="00ED697E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uiPriority w:val="99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398F-8071-4B7A-BECF-496154C0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2025-05-19T12:35:00Z</cp:lastPrinted>
  <dcterms:created xsi:type="dcterms:W3CDTF">2025-05-19T13:09:00Z</dcterms:created>
  <dcterms:modified xsi:type="dcterms:W3CDTF">2025-05-19T13:09:00Z</dcterms:modified>
  <dc:language>ru-RU</dc:language>
</cp:coreProperties>
</file>