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/>
        <w:jc w:val="center"/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Сообщение о существенном факте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br/>
        <w:t xml:space="preserve">«</w:t>
      </w:r>
      <w:r>
        <w:rPr>
          <w:rFonts w:ascii="Liberation Serif" w:hAnsi="Liberation Serif" w:eastAsia="Liberation Serif" w:cs="Liberation Serif"/>
          <w:b/>
          <w:color w:val="000000"/>
          <w:sz w:val="21"/>
          <w:szCs w:val="21"/>
        </w:rPr>
        <w:t xml:space="preserve">Об отдельных решениях, принятых советом директоров эмитента»</w:t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</w:p>
    <w:p>
      <w:pPr>
        <w:ind w:left="-284"/>
        <w:jc w:val="center"/>
        <w:rPr>
          <w:rFonts w:ascii="Liberation Serif" w:hAnsi="Liberation Serif" w:cs="Liberation Serif"/>
          <w:b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color w:val="000000"/>
          <w:sz w:val="21"/>
          <w:szCs w:val="21"/>
        </w:rPr>
      </w:r>
    </w:p>
    <w:tbl>
      <w:tblPr>
        <w:tblW w:w="10348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46"/>
        <w:gridCol w:w="5102"/>
      </w:tblGrid>
      <w:tr>
        <w:tblPrEx/>
        <w:trPr/>
        <w:tc>
          <w:tcPr>
            <w:gridSpan w:val="2"/>
            <w:tcW w:w="10348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 Общие сведения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trHeight w:val="634"/>
        </w:trPr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1.1. Полное фирменное наименование (для коммерческой организации) или наименование (для некоммерческой организации) эмитента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Style w:val="1006"/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Публичное акционерное общество «Вторая генерирующая компания оптового рынка электроэнергии»</w:t>
            </w:r>
            <w:r>
              <w:rPr>
                <w:rStyle w:val="1006"/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Style w:val="1006"/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1.2. Адрес эмитента, указанный в едином государственном реестре юридических лиц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Style w:val="1006"/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196605, г. Санкт-Петербург, вн.тер.г. поселок Шушары, ш Петербургское, д. 66, к. 1, литера А, этаж 7, помещ. 36-Н, каб. 701</w:t>
            </w:r>
            <w:r>
              <w:rPr>
                <w:rStyle w:val="1006"/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Style w:val="1006"/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1.3. Основной государственный регистрационный номер (ОГРН) эмитента (при наличии) 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1052600002180</w:t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1.4. Идентификационный номер налогоплательщика (ИНН) эмитента (при наличии)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2607018122</w:t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1.5. Уникальный код эмитента, присвоенный Банком России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65105-D</w:t>
            </w:r>
            <w:r>
              <w:rPr>
                <w:rFonts w:ascii="Liberation Serif" w:hAnsi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1.6. Адрес страницы в сети Интернет, используемой эмитентом для раскрытия информации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hyperlink r:id="rId12" w:tooltip="https://www.ogk2.ru" w:history="1">
              <w:r>
                <w:rPr>
                  <w:rStyle w:val="996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</w:rPr>
                <w:t xml:space="preserve">http</w:t>
              </w:r>
              <w:r>
                <w:rPr>
                  <w:rStyle w:val="996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  <w:lang w:val="en-US"/>
                </w:rPr>
                <w:t xml:space="preserve">s</w:t>
              </w:r>
              <w:r>
                <w:rPr>
                  <w:rStyle w:val="996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</w:rPr>
                <w:t xml:space="preserve">://www.ogk2.ru</w:t>
              </w:r>
            </w:hyperlink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</w:p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hyperlink r:id="rId13" w:tooltip="https://www.e-disclosure.ru/portal/company.aspx?id=7234" w:history="1">
              <w:r>
                <w:rPr>
                  <w:rStyle w:val="996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</w:rPr>
                <w:t xml:space="preserve">http</w:t>
              </w:r>
              <w:r>
                <w:rPr>
                  <w:rStyle w:val="996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  <w:lang w:val="en-US"/>
                </w:rPr>
                <w:t xml:space="preserve">s</w:t>
              </w:r>
              <w:r>
                <w:rPr>
                  <w:rStyle w:val="996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</w:rPr>
                <w:t xml:space="preserve">://www.e-disclosure.ru/portal/company.aspx?id=7234</w:t>
              </w:r>
            </w:hyperlink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1.7. Дата наступления события (существенного факта), о котором составлено сообщение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Style w:val="996"/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shd w:val="clear" w:color="auto" w:fill="ffffff"/>
              </w:rPr>
              <w:t xml:space="preserve">28.09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shd w:val="clear" w:color="auto" w:fill="ffffff"/>
              </w:rPr>
              <w:t xml:space="preserve">.202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shd w:val="clear" w:color="auto" w:fill="ffffff"/>
              </w:rPr>
              <w:t xml:space="preserve">6</w:t>
            </w:r>
            <w:r>
              <w:rPr>
                <w:rStyle w:val="996"/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</w:rPr>
            </w:r>
            <w:r>
              <w:rPr>
                <w:rStyle w:val="996"/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</w:rPr>
            </w:r>
          </w:p>
        </w:tc>
      </w:tr>
    </w:tbl>
    <w:p>
      <w:pPr>
        <w:ind w:left="57" w:right="57"/>
        <w:rPr>
          <w:rFonts w:ascii="Liberation Serif" w:hAnsi="Liberation Serif" w:cs="Liberation Serif"/>
          <w:sz w:val="21"/>
          <w:szCs w:val="21"/>
        </w:rPr>
        <w:suppressLineNumbers w:val="0"/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tbl>
      <w:tblPr>
        <w:tblW w:w="10343" w:type="dxa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43"/>
      </w:tblGrid>
      <w:tr>
        <w:tblPrEx/>
        <w:trPr/>
        <w:tc>
          <w:tcPr>
            <w:tcW w:w="10343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2. Содержание сообщения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trHeight w:val="554"/>
        </w:trPr>
        <w:tc>
          <w:tcPr>
            <w:tcW w:w="10343" w:type="dxa"/>
            <w:textDirection w:val="lrTb"/>
            <w:noWrap w:val="false"/>
          </w:tcPr>
          <w:p>
            <w:pPr>
              <w:ind w:left="57" w:right="57" w:firstLine="0"/>
              <w:jc w:val="both"/>
              <w:spacing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  <w:t xml:space="preserve">2.1. </w:t>
            </w:r>
            <w:r>
              <w:rPr>
                <w:rFonts w:ascii="Liberation Serif" w:hAnsi="Liberation Serif" w:eastAsia="Liberation Serif" w:cs="Liberation Serif" w:eastAsiaTheme="minorHAnsi"/>
                <w:color w:val="000000" w:themeColor="text1"/>
                <w:sz w:val="21"/>
                <w:szCs w:val="21"/>
                <w:lang w:eastAsia="en-US"/>
              </w:rPr>
              <w:t xml:space="preserve">Сведения о кворуме заседания Совета директоров эмитента: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ind w:left="57" w:right="57" w:firstLine="0"/>
              <w:jc w:val="both"/>
              <w:spacing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В заочном голосовании приняли участие 9 из 9 членов Совета директоров ПАО «ОГК-2», приславшие в установленный срок заполненные бюллетени для голосования. КВОРУМ ИМЕЛСЯ.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ind w:left="57" w:right="57" w:firstLine="0"/>
              <w:jc w:val="both"/>
              <w:spacing w:line="240" w:lineRule="auto"/>
              <w:tabs>
                <w:tab w:val="left" w:pos="547" w:leader="none"/>
              </w:tabs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ind w:left="57" w:right="57" w:firstLine="0"/>
              <w:jc w:val="both"/>
              <w:spacing w:line="240" w:lineRule="auto"/>
              <w:tabs>
                <w:tab w:val="left" w:pos="547" w:leader="none"/>
              </w:tabs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  <w:t xml:space="preserve">2.2. Содержание решений, принятых советом директоров эмитента: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ind w:left="57" w:right="57" w:firstLine="0"/>
              <w:jc w:val="both"/>
              <w:spacing w:line="240" w:lineRule="auto"/>
              <w:tabs>
                <w:tab w:val="left" w:pos="547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1"/>
                <w:szCs w:val="21"/>
                <w:highlight w:val="none"/>
              </w:rPr>
              <w:t xml:space="preserve">Вопрос: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pStyle w:val="1008"/>
              <w:numPr>
                <w:ilvl w:val="0"/>
                <w:numId w:val="53"/>
              </w:numPr>
              <w:ind w:left="57" w:right="57" w:firstLine="0"/>
              <w:spacing w:before="20" w:after="20"/>
              <w:tabs>
                <w:tab w:val="left" w:pos="283" w:leader="none"/>
              </w:tabs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Об определении закупочной политики в Обществе.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pStyle w:val="1008"/>
              <w:ind w:left="57" w:right="57" w:firstLine="0"/>
              <w:spacing w:before="20" w:after="20" w:line="240" w:lineRule="auto"/>
              <w:tabs>
                <w:tab w:val="left" w:pos="283" w:leader="none"/>
              </w:tabs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1.1.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ab/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О внесении изменений в Годовую комплексную программу закупок Общества под нужды 2026 года.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ind w:left="57" w:right="57"/>
              <w:jc w:val="both"/>
              <w:spacing w:line="240" w:lineRule="auto"/>
              <w:shd w:val="clear" w:color="auto" w:fill="ffffff"/>
              <w:widowControl w:val="off"/>
              <w:tabs>
                <w:tab w:val="left" w:pos="426" w:leader="none"/>
                <w:tab w:val="left" w:pos="851" w:leader="none"/>
              </w:tabs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Результаты голосования: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 За – 9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 Против –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, Воздержался –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, не учитывались при голосовании – 0.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pStyle w:val="1005"/>
              <w:ind w:left="57" w:right="57"/>
              <w:jc w:val="both"/>
              <w:spacing w:line="240" w:lineRule="auto"/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</w:rPr>
              <w:t xml:space="preserve">При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</w:rPr>
              <w:t xml:space="preserve">нятое решение: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</w:p>
          <w:p>
            <w:pPr>
              <w:pStyle w:val="1008"/>
              <w:ind w:left="57" w:right="57"/>
              <w:spacing w:before="20" w:after="20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Утвердить корректировку Годовой комплексной программы закупок Общества под нужды 2026 года в соответствии с Приложением № 1.1 к решению Совета директоров.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pStyle w:val="1008"/>
              <w:ind w:left="57" w:right="57"/>
              <w:spacing w:before="20" w:after="20" w:line="240" w:lineRule="auto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</w:rPr>
              <w:t xml:space="preserve">Вопрос: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</w:r>
          </w:p>
          <w:p>
            <w:pPr>
              <w:pStyle w:val="1008"/>
              <w:ind w:left="57"/>
              <w:spacing w:before="20" w:after="20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  <w:highlight w:val="none"/>
              </w:rPr>
              <w:t xml:space="preserve">2. 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Об утверждении Плана работы Совета директоров Общества на 2026-2027 годы.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ind w:left="57" w:right="57"/>
              <w:jc w:val="both"/>
              <w:spacing w:line="240" w:lineRule="auto"/>
              <w:shd w:val="clear" w:color="auto" w:fill="ffffff"/>
              <w:widowControl w:val="off"/>
              <w:tabs>
                <w:tab w:val="left" w:pos="426" w:leader="none"/>
                <w:tab w:val="left" w:pos="851" w:leader="none"/>
              </w:tabs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Результаты голосования: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 За – 9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 Против –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, Воздержался –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, не учитывались при голосовании – 0.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pStyle w:val="1005"/>
              <w:ind w:left="57" w:right="57"/>
              <w:jc w:val="both"/>
              <w:spacing w:line="240" w:lineRule="auto"/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</w:rPr>
              <w:t xml:space="preserve">При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</w:rPr>
              <w:t xml:space="preserve">нятое решение: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</w:p>
          <w:p>
            <w:pPr>
              <w:pStyle w:val="1008"/>
              <w:ind w:left="57" w:right="57"/>
              <w:spacing w:before="20" w:after="20"/>
              <w:rPr>
                <w:rFonts w:ascii="Liberation Serif" w:hAnsi="Liberation Serif" w:eastAsia="Liberation Serif" w:cs="Liberation Serif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Утвердить План работы Совета директоров Общества на 2026-2027 годы согласно Приложению № 2 к решению Совета директоров.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  <w:highlight w:val="none"/>
              </w:rPr>
            </w:r>
          </w:p>
          <w:p>
            <w:pPr>
              <w:pStyle w:val="1008"/>
              <w:ind w:left="57" w:right="57" w:firstLine="0"/>
              <w:spacing w:before="20" w:after="20"/>
              <w:rPr>
                <w:rFonts w:ascii="Times New Roman" w:hAnsi="Times New Roman" w:eastAsia="Times New Roman"/>
                <w:bCs/>
                <w:i/>
                <w:sz w:val="22"/>
                <w:szCs w:val="22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/>
                <w:iCs/>
                <w:sz w:val="21"/>
                <w:szCs w:val="21"/>
              </w:rPr>
              <w:t xml:space="preserve">Формулировка третьего вопроса повестки дня, результаты голосования</w:t>
            </w:r>
            <w:r>
              <w:rPr>
                <w:b w:val="0"/>
                <w:bCs w:val="0"/>
                <w:i/>
                <w:iCs/>
                <w:sz w:val="21"/>
                <w:szCs w:val="21"/>
              </w:rPr>
              <w:t xml:space="preserve"> и принятое по нему решение не раскрывается</w:t>
            </w:r>
            <w:r>
              <w:rPr>
                <w:b w:val="0"/>
                <w:bCs w:val="0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/>
                <w:i/>
                <w:iCs/>
                <w:sz w:val="21"/>
                <w:szCs w:val="21"/>
                <w:highlight w:val="white"/>
              </w:rPr>
              <w:t xml:space="preserve">в соответствии </w:t>
            </w:r>
            <w:r>
              <w:rPr>
                <w:rFonts w:ascii="Times New Roman" w:hAnsi="Times New Roman" w:eastAsia="Times New Roman"/>
                <w:i/>
                <w:iCs/>
                <w:sz w:val="21"/>
                <w:szCs w:val="21"/>
                <w:highlight w:val="white"/>
              </w:rPr>
              <w:t xml:space="preserve">с </w:t>
            </w:r>
            <w:r>
              <w:rPr>
                <w:rFonts w:ascii="Times New Roman" w:hAnsi="Times New Roman" w:eastAsia="Times New Roman"/>
                <w:i/>
                <w:iCs/>
                <w:sz w:val="21"/>
                <w:szCs w:val="21"/>
                <w:highlight w:val="white"/>
              </w:rPr>
              <w:t xml:space="preserve">Указом Президента РФ от 27.11.2023 N 903 «</w:t>
            </w:r>
            <w:r>
              <w:rPr>
                <w:rFonts w:ascii="Times New Roman" w:hAnsi="Times New Roman" w:eastAsia="Times New Roman"/>
                <w:i/>
                <w:iCs/>
                <w:sz w:val="21"/>
                <w:szCs w:val="21"/>
                <w:highlight w:val="white"/>
              </w:rPr>
              <w:t xml:space="preserve">О временном порядке раскрытия и предоставления информации некоторыми российскими хозяйственными обществами и государственными корпорациями»</w:t>
            </w:r>
            <w:r>
              <w:rPr>
                <w:rFonts w:ascii="Times New Roman" w:hAnsi="Times New Roman" w:eastAsia="Times New Roman"/>
                <w:i/>
                <w:iCs/>
                <w:sz w:val="21"/>
                <w:szCs w:val="21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/>
                <w:bCs/>
                <w:i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/>
                <w:sz w:val="22"/>
                <w:szCs w:val="22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/>
                <w:i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 w:val="0"/>
                <w:bCs/>
                <w:i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 w:val="0"/>
                <w:bCs/>
                <w:i/>
                <w:sz w:val="21"/>
                <w:szCs w:val="21"/>
              </w:rPr>
            </w:r>
            <w:r>
              <w:rPr>
                <w:rFonts w:ascii="Times New Roman" w:hAnsi="Times New Roman" w:eastAsia="Times New Roman"/>
                <w:bCs/>
                <w:i/>
                <w:sz w:val="22"/>
                <w:szCs w:val="22"/>
                <w:highlight w:val="none"/>
              </w:rPr>
            </w:r>
          </w:p>
          <w:p>
            <w:pPr>
              <w:pStyle w:val="1008"/>
              <w:ind w:left="57" w:right="57"/>
              <w:spacing w:before="20" w:after="20" w:line="240" w:lineRule="auto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</w:rPr>
              <w:t xml:space="preserve">Вопрос: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</w:rPr>
            </w:r>
          </w:p>
          <w:p>
            <w:pPr>
              <w:pStyle w:val="1008"/>
              <w:ind w:left="57" w:right="57"/>
              <w:spacing w:before="20" w:after="20"/>
              <w:rPr>
                <w:sz w:val="21"/>
                <w:szCs w:val="21"/>
                <w:highlight w:val="none"/>
              </w:rPr>
              <w:suppressLineNumbers w:val="0"/>
            </w:pPr>
            <w:r>
              <w:rPr>
                <w:sz w:val="21"/>
                <w:szCs w:val="21"/>
              </w:rPr>
              <w:t xml:space="preserve">5. О рассмотрении отчета о выполнении Плана мероприятий по повышению операционной эффективности </w:t>
            </w:r>
            <w:r>
              <w:rPr>
                <w:sz w:val="21"/>
                <w:szCs w:val="21"/>
              </w:rPr>
              <w:t xml:space="preserve">и оптимизации расходов ПАО «ОГК-2» за 6 месяцев 2026 года.</w:t>
            </w:r>
            <w:r>
              <w:rPr>
                <w:sz w:val="21"/>
                <w:szCs w:val="21"/>
                <w:highlight w:val="none"/>
              </w:rPr>
            </w:r>
            <w:r>
              <w:rPr>
                <w:sz w:val="21"/>
                <w:szCs w:val="21"/>
                <w:highlight w:val="none"/>
              </w:rPr>
            </w:r>
          </w:p>
          <w:p>
            <w:pPr>
              <w:ind w:left="57" w:right="57"/>
              <w:jc w:val="both"/>
              <w:spacing w:line="240" w:lineRule="auto"/>
              <w:shd w:val="clear" w:color="auto" w:fill="ffffff"/>
              <w:widowControl w:val="off"/>
              <w:tabs>
                <w:tab w:val="left" w:pos="426" w:leader="none"/>
                <w:tab w:val="left" w:pos="851" w:leader="none"/>
              </w:tabs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Результаты голосования: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 За – 9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 Против –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, Воздержался –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1"/>
                <w:szCs w:val="21"/>
              </w:rPr>
              <w:t xml:space="preserve">, не учитывались при голосовании – 0.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pStyle w:val="1005"/>
              <w:ind w:left="57" w:right="57"/>
              <w:jc w:val="both"/>
              <w:spacing w:line="240" w:lineRule="auto"/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</w:rPr>
              <w:t xml:space="preserve">При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</w:rPr>
              <w:t xml:space="preserve">нятое решение: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</w:p>
          <w:p>
            <w:pPr>
              <w:pStyle w:val="1008"/>
              <w:ind w:left="57" w:right="57"/>
              <w:spacing w:before="20" w:after="20"/>
              <w:rPr>
                <w:sz w:val="21"/>
                <w:szCs w:val="21"/>
              </w:rPr>
              <w:suppressLineNumbers w:val="0"/>
            </w:pPr>
            <w:r>
              <w:rPr>
                <w:sz w:val="21"/>
                <w:szCs w:val="21"/>
              </w:rPr>
              <w:t xml:space="preserve">Утвердить отчет о выполнении Плана мероприятий по повышению операционной эффективности и оптимизации расходов ПАО «ОГК-2» за 6 месяцев 2026</w:t>
            </w:r>
            <w:r>
              <w:rPr>
                <w:sz w:val="21"/>
                <w:szCs w:val="21"/>
              </w:rPr>
              <w:t xml:space="preserve"> года</w:t>
            </w:r>
            <w:r>
              <w:rPr>
                <w:sz w:val="21"/>
                <w:szCs w:val="21"/>
              </w:rPr>
              <w:t xml:space="preserve">, в соответствии с Приложением № 5 к решению Совета директоров.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  <w:highlight w:val="none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  <w:t xml:space="preserve">2.3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  <w:t xml:space="preserve">. Дата проведения заседания совета директоров эмитента, на котором приняты решения: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 28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.09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.2026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color w:val="auto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  <w:t xml:space="preserve">2.4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  <w:t xml:space="preserve">. Дата составления и номер протокола заседания совета директоров эмитента, на котором приняты решения: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Протокол от 28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.09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</w:rPr>
              <w:t xml:space="preserve">.2026 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  <w:t xml:space="preserve">№ 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  <w:t xml:space="preserve">388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bCs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auto"/>
                <w:sz w:val="21"/>
                <w:szCs w:val="21"/>
                <w:highlight w:val="none"/>
              </w:rPr>
            </w:r>
          </w:p>
        </w:tc>
      </w:tr>
    </w:tbl>
    <w:p>
      <w:pPr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tbl>
      <w:tblPr>
        <w:tblW w:w="10343" w:type="dxa"/>
        <w:tblInd w:w="-14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283"/>
        <w:gridCol w:w="271"/>
        <w:gridCol w:w="1317"/>
        <w:gridCol w:w="416"/>
        <w:gridCol w:w="307"/>
        <w:gridCol w:w="1516"/>
        <w:gridCol w:w="1031"/>
        <w:gridCol w:w="812"/>
        <w:gridCol w:w="2722"/>
        <w:gridCol w:w="534"/>
      </w:tblGrid>
      <w:tr>
        <w:tblPrEx/>
        <w:trPr>
          <w:cantSplit/>
          <w:trHeight w:val="248"/>
        </w:trPr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43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3. Подпись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cantSplit/>
          <w:trHeight w:val="85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pStyle w:val="1005"/>
              <w:ind w:left="57"/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whit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3.1. 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З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т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т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л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ь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г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л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ь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г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д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к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т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в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в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ы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у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щ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т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в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ы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в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</w:rPr>
              <w:t xml:space="preserve">, действующий на основании доверенности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highlight w:val="white"/>
              </w:rPr>
              <w:t xml:space="preserve">№ 78/362-н/78-2025-3-1129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highlight w:val="white"/>
              </w:rPr>
              <w:t xml:space="preserve">от 03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white"/>
              </w:rPr>
              <w:t xml:space="preserve">.12.2025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r>
          </w:p>
        </w:tc>
        <w:tc>
          <w:tcPr>
            <w:tcBorders>
              <w:top w:val="single" w:color="000000" w:sz="4" w:space="0"/>
            </w:tcBorders>
            <w:tcW w:w="272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</w:rPr>
              <w:t xml:space="preserve">М.А. Чалый</w:t>
            </w:r>
            <w:r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53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r>
          </w:p>
        </w:tc>
      </w:tr>
      <w:tr>
        <w:tblPrEx/>
        <w:trPr>
          <w:cantSplit/>
          <w:trHeight w:val="280" w:hRule="exact"/>
        </w:trPr>
        <w:tc>
          <w:tcPr>
            <w:gridSpan w:val="7"/>
            <w:tcBorders>
              <w:lef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gridSpan w:val="2"/>
            <w:tcW w:w="1843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(подпись)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Borders>
              <w:left w:val="single" w:color="000000" w:sz="4" w:space="0"/>
              <w:bottom w:val="single" w:color="auto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3.2. Дата  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“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28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  <w:t xml:space="preserve">28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271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”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131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сентября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41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20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30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6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1516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103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gridSpan w:val="3"/>
            <w:tcBorders>
              <w:bottom w:val="single" w:color="auto" w:sz="4" w:space="0"/>
              <w:right w:val="single" w:color="000000" w:sz="4" w:space="0"/>
            </w:tcBorders>
            <w:tcW w:w="4068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</w:tr>
    </w:tbl>
    <w:p>
      <w:pPr>
        <w:tabs>
          <w:tab w:val="left" w:pos="2895" w:leader="none"/>
        </w:tabs>
        <w:rPr>
          <w:rFonts w:ascii="Liberation Serif" w:hAnsi="Liberation Serif" w:cs="Liberation Serif"/>
          <w:color w:val="000000" w:themeColor="text1"/>
          <w:sz w:val="21"/>
          <w:szCs w:val="21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white"/>
        </w:rPr>
      </w:r>
      <w:bookmarkStart w:id="0" w:name="_GoBack"/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white"/>
        </w:rPr>
      </w:r>
      <w:bookmarkEnd w:id="0"/>
      <w:r>
        <w:rPr>
          <w:rFonts w:ascii="Liberation Serif" w:hAnsi="Liberation Serif" w:cs="Liberation Serif"/>
          <w:color w:val="000000" w:themeColor="text1"/>
          <w:sz w:val="21"/>
          <w:szCs w:val="21"/>
          <w:highlight w:val="whit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white"/>
        </w:rPr>
      </w:r>
    </w:p>
    <w:sectPr>
      <w:headerReference w:type="even" r:id="rId9"/>
      <w:footerReference w:type="default" r:id="rId10"/>
      <w:footnotePr/>
      <w:endnotePr/>
      <w:type w:val="nextPage"/>
      <w:pgSz w:w="11906" w:h="16838" w:orient="portrait"/>
      <w:pgMar w:top="284" w:right="851" w:bottom="255" w:left="1134" w:header="284" w:footer="284" w:gutter="0"/>
      <w:cols w:num="1" w:sep="0" w:space="709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9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99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3"/>
      <w:rPr>
        <w:rStyle w:val="995"/>
      </w:rPr>
      <w:framePr w:wrap="around" w:vAnchor="text" w:hAnchor="margin" w:xAlign="center" w:y="1"/>
    </w:pPr>
    <w:r>
      <w:rPr>
        <w:rStyle w:val="995"/>
      </w:rPr>
      <w:fldChar w:fldCharType="begin"/>
    </w:r>
    <w:r>
      <w:rPr>
        <w:rStyle w:val="995"/>
      </w:rPr>
      <w:instrText xml:space="preserve">PAGE  </w:instrText>
    </w:r>
    <w:r>
      <w:rPr>
        <w:rStyle w:val="995"/>
      </w:rPr>
      <w:fldChar w:fldCharType="separate"/>
    </w:r>
    <w:r>
      <w:rPr>
        <w:rStyle w:val="995"/>
      </w:rPr>
      <w:t xml:space="preserve">3</w:t>
    </w:r>
    <w:r>
      <w:rPr>
        <w:rStyle w:val="995"/>
      </w:rPr>
      <w:fldChar w:fldCharType="end"/>
    </w:r>
    <w:r>
      <w:rPr>
        <w:rStyle w:val="995"/>
      </w:rPr>
    </w:r>
    <w:r>
      <w:rPr>
        <w:rStyle w:val="995"/>
      </w:rPr>
    </w:r>
  </w:p>
  <w:p>
    <w:pPr>
      <w:pStyle w:val="99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none"/>
      <w:isLgl w:val="false"/>
      <w:suff w:val="nothing"/>
      <w:lvlText w:val=""/>
      <w:lvlJc w:val="left"/>
      <w:pPr/>
      <w:rPr>
        <w:rFonts w:cs="Times New Roman"/>
        <w:spacing w:val="0"/>
      </w:rPr>
    </w:lvl>
    <w:lvl w:ilvl="1">
      <w:start w:val="1"/>
      <w:numFmt w:val="none"/>
      <w:isLgl w:val="false"/>
      <w:suff w:val="nothing"/>
      <w:lvlText w:val=""/>
      <w:lvlJc w:val="left"/>
      <w:pPr>
        <w:ind w:left="1143"/>
      </w:pPr>
      <w:rPr>
        <w:rFonts w:cs="Times New Roman"/>
        <w:spacing w:val="0"/>
      </w:rPr>
    </w:lvl>
    <w:lvl w:ilvl="2">
      <w:start w:val="1"/>
      <w:numFmt w:val="none"/>
      <w:isLgl w:val="false"/>
      <w:suff w:val="nothing"/>
      <w:lvlText w:val=""/>
      <w:lvlJc w:val="left"/>
      <w:pPr>
        <w:ind w:left="1863"/>
      </w:pPr>
      <w:rPr>
        <w:rFonts w:cs="Times New Roman"/>
        <w:spacing w:val="0"/>
      </w:rPr>
    </w:lvl>
    <w:lvl w:ilvl="3">
      <w:start w:val="1"/>
      <w:numFmt w:val="none"/>
      <w:isLgl w:val="false"/>
      <w:suff w:val="nothing"/>
      <w:lvlText w:val=""/>
      <w:lvlJc w:val="left"/>
      <w:pPr>
        <w:ind w:left="2583"/>
      </w:pPr>
      <w:rPr>
        <w:rFonts w:cs="Times New Roman"/>
        <w:spacing w:val="0"/>
      </w:rPr>
    </w:lvl>
    <w:lvl w:ilvl="4">
      <w:start w:val="1"/>
      <w:numFmt w:val="none"/>
      <w:isLgl w:val="false"/>
      <w:suff w:val="nothing"/>
      <w:lvlText w:val=""/>
      <w:lvlJc w:val="left"/>
      <w:pPr>
        <w:ind w:left="3303"/>
      </w:pPr>
      <w:rPr>
        <w:rFonts w:cs="Times New Roman"/>
        <w:spacing w:val="0"/>
      </w:rPr>
    </w:lvl>
    <w:lvl w:ilvl="5">
      <w:start w:val="1"/>
      <w:numFmt w:val="none"/>
      <w:isLgl w:val="false"/>
      <w:suff w:val="nothing"/>
      <w:lvlText w:val=""/>
      <w:lvlJc w:val="left"/>
      <w:pPr>
        <w:ind w:left="4023"/>
      </w:pPr>
      <w:rPr>
        <w:rFonts w:cs="Times New Roman"/>
        <w:spacing w:val="0"/>
      </w:rPr>
    </w:lvl>
    <w:lvl w:ilvl="6">
      <w:start w:val="1"/>
      <w:numFmt w:val="none"/>
      <w:isLgl w:val="false"/>
      <w:suff w:val="nothing"/>
      <w:lvlText w:val=""/>
      <w:lvlJc w:val="left"/>
      <w:pPr>
        <w:ind w:left="4743"/>
      </w:pPr>
      <w:rPr>
        <w:rFonts w:cs="Times New Roman"/>
        <w:spacing w:val="0"/>
      </w:rPr>
    </w:lvl>
    <w:lvl w:ilvl="7">
      <w:start w:val="1"/>
      <w:numFmt w:val="none"/>
      <w:isLgl w:val="false"/>
      <w:suff w:val="nothing"/>
      <w:lvlText w:val=""/>
      <w:lvlJc w:val="left"/>
      <w:pPr>
        <w:ind w:left="5463"/>
      </w:pPr>
      <w:rPr>
        <w:rFonts w:cs="Times New Roman"/>
        <w:spacing w:val="0"/>
      </w:rPr>
    </w:lvl>
    <w:lvl w:ilvl="8">
      <w:start w:val="1"/>
      <w:numFmt w:val="none"/>
      <w:isLgl w:val="false"/>
      <w:suff w:val="nothing"/>
      <w:lvlText w:val=""/>
      <w:lvlJc w:val="left"/>
      <w:pPr>
        <w:ind w:left="6183"/>
      </w:pPr>
      <w:rPr>
        <w:rFonts w:cs="Times New Roman"/>
        <w:spacing w:val="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/>
      <w:rPr>
        <w:rFonts w:hint="default" w:ascii="Symbol" w:hAnsi="Symbol"/>
        <w:spacing w:val="0"/>
      </w:rPr>
    </w:lvl>
    <w:lvl w:ilvl="1">
      <w:start w:val="1"/>
      <w:numFmt w:val="none"/>
      <w:isLgl w:val="false"/>
      <w:suff w:val="nothing"/>
      <w:lvlText w:val=""/>
      <w:lvlJc w:val="left"/>
      <w:pPr>
        <w:ind w:left="1143"/>
      </w:pPr>
      <w:rPr>
        <w:rFonts w:cs="Times New Roman"/>
        <w:spacing w:val="0"/>
      </w:rPr>
    </w:lvl>
    <w:lvl w:ilvl="2">
      <w:start w:val="1"/>
      <w:numFmt w:val="none"/>
      <w:isLgl w:val="false"/>
      <w:suff w:val="nothing"/>
      <w:lvlText w:val=""/>
      <w:lvlJc w:val="left"/>
      <w:pPr>
        <w:ind w:left="1863"/>
      </w:pPr>
      <w:rPr>
        <w:rFonts w:cs="Times New Roman"/>
        <w:spacing w:val="0"/>
      </w:rPr>
    </w:lvl>
    <w:lvl w:ilvl="3">
      <w:start w:val="1"/>
      <w:numFmt w:val="none"/>
      <w:isLgl w:val="false"/>
      <w:suff w:val="nothing"/>
      <w:lvlText w:val=""/>
      <w:lvlJc w:val="left"/>
      <w:pPr>
        <w:ind w:left="2583"/>
      </w:pPr>
      <w:rPr>
        <w:rFonts w:cs="Times New Roman"/>
        <w:spacing w:val="0"/>
      </w:rPr>
    </w:lvl>
    <w:lvl w:ilvl="4">
      <w:start w:val="1"/>
      <w:numFmt w:val="none"/>
      <w:isLgl w:val="false"/>
      <w:suff w:val="nothing"/>
      <w:lvlText w:val=""/>
      <w:lvlJc w:val="left"/>
      <w:pPr>
        <w:ind w:left="3303"/>
      </w:pPr>
      <w:rPr>
        <w:rFonts w:cs="Times New Roman"/>
        <w:spacing w:val="0"/>
      </w:rPr>
    </w:lvl>
    <w:lvl w:ilvl="5">
      <w:start w:val="1"/>
      <w:numFmt w:val="none"/>
      <w:isLgl w:val="false"/>
      <w:suff w:val="nothing"/>
      <w:lvlText w:val=""/>
      <w:lvlJc w:val="left"/>
      <w:pPr>
        <w:ind w:left="4023"/>
      </w:pPr>
      <w:rPr>
        <w:rFonts w:cs="Times New Roman"/>
        <w:spacing w:val="0"/>
      </w:rPr>
    </w:lvl>
    <w:lvl w:ilvl="6">
      <w:start w:val="1"/>
      <w:numFmt w:val="none"/>
      <w:isLgl w:val="false"/>
      <w:suff w:val="nothing"/>
      <w:lvlText w:val=""/>
      <w:lvlJc w:val="left"/>
      <w:pPr>
        <w:ind w:left="4743"/>
      </w:pPr>
      <w:rPr>
        <w:rFonts w:cs="Times New Roman"/>
        <w:spacing w:val="0"/>
      </w:rPr>
    </w:lvl>
    <w:lvl w:ilvl="7">
      <w:start w:val="1"/>
      <w:numFmt w:val="none"/>
      <w:isLgl w:val="false"/>
      <w:suff w:val="nothing"/>
      <w:lvlText w:val=""/>
      <w:lvlJc w:val="left"/>
      <w:pPr>
        <w:ind w:left="5463"/>
      </w:pPr>
      <w:rPr>
        <w:rFonts w:cs="Times New Roman"/>
        <w:spacing w:val="0"/>
      </w:rPr>
    </w:lvl>
    <w:lvl w:ilvl="8">
      <w:start w:val="1"/>
      <w:numFmt w:val="none"/>
      <w:isLgl w:val="false"/>
      <w:suff w:val="nothing"/>
      <w:lvlText w:val=""/>
      <w:lvlJc w:val="left"/>
      <w:pPr>
        <w:ind w:left="6183"/>
      </w:pPr>
      <w:rPr>
        <w:rFonts w:cs="Times New Roman"/>
        <w:spacing w:val="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04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7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4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1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3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064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4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Times New Roman" w:hAnsi="Times New Roman" w:cs="Times New Roman"/>
        <w:b/>
        <w:lang w:val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45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2"/>
  </w:num>
  <w:num w:numId="2">
    <w:abstractNumId w:val="22"/>
  </w:num>
  <w:num w:numId="3">
    <w:abstractNumId w:val="27"/>
  </w:num>
  <w:num w:numId="4">
    <w:abstractNumId w:val="37"/>
  </w:num>
  <w:num w:numId="5">
    <w:abstractNumId w:val="13"/>
  </w:num>
  <w:num w:numId="6">
    <w:abstractNumId w:val="11"/>
  </w:num>
  <w:num w:numId="7">
    <w:abstractNumId w:val="24"/>
  </w:num>
  <w:num w:numId="8">
    <w:abstractNumId w:val="9"/>
  </w:num>
  <w:num w:numId="9">
    <w:abstractNumId w:val="19"/>
  </w:num>
  <w:num w:numId="10">
    <w:abstractNumId w:val="3"/>
  </w:num>
  <w:num w:numId="11">
    <w:abstractNumId w:val="29"/>
  </w:num>
  <w:num w:numId="12">
    <w:abstractNumId w:val="12"/>
  </w:num>
  <w:num w:numId="13">
    <w:abstractNumId w:val="4"/>
  </w:num>
  <w:num w:numId="14">
    <w:abstractNumId w:val="25"/>
  </w:num>
  <w:num w:numId="15">
    <w:abstractNumId w:val="31"/>
  </w:num>
  <w:num w:numId="16">
    <w:abstractNumId w:val="34"/>
  </w:num>
  <w:num w:numId="17">
    <w:abstractNumId w:val="21"/>
  </w:num>
  <w:num w:numId="18">
    <w:abstractNumId w:val="28"/>
  </w:num>
  <w:num w:numId="19">
    <w:abstractNumId w:val="15"/>
  </w:num>
  <w:num w:numId="20">
    <w:abstractNumId w:val="18"/>
  </w:num>
  <w:num w:numId="21">
    <w:abstractNumId w:val="36"/>
  </w:num>
  <w:num w:numId="22">
    <w:abstractNumId w:val="16"/>
  </w:num>
  <w:num w:numId="23">
    <w:abstractNumId w:val="5"/>
  </w:num>
  <w:num w:numId="24">
    <w:abstractNumId w:val="14"/>
  </w:num>
  <w:num w:numId="25">
    <w:abstractNumId w:val="33"/>
  </w:num>
  <w:num w:numId="26">
    <w:abstractNumId w:val="35"/>
  </w:num>
  <w:num w:numId="27">
    <w:abstractNumId w:val="0"/>
  </w:num>
  <w:num w:numId="28">
    <w:abstractNumId w:val="7"/>
  </w:num>
  <w:num w:numId="29">
    <w:abstractNumId w:val="10"/>
  </w:num>
  <w:num w:numId="30">
    <w:abstractNumId w:val="6"/>
  </w:num>
  <w:num w:numId="31">
    <w:abstractNumId w:val="17"/>
  </w:num>
  <w:num w:numId="32">
    <w:abstractNumId w:val="23"/>
  </w:num>
  <w:num w:numId="33">
    <w:abstractNumId w:val="20"/>
  </w:num>
  <w:num w:numId="34">
    <w:abstractNumId w:val="1"/>
  </w:num>
  <w:num w:numId="35">
    <w:abstractNumId w:val="26"/>
  </w:num>
  <w:num w:numId="36">
    <w:abstractNumId w:val="32"/>
  </w:num>
  <w:num w:numId="37">
    <w:abstractNumId w:val="30"/>
  </w:num>
  <w:num w:numId="38">
    <w:abstractNumId w:val="8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02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03">
    <w:name w:val="Heading 1"/>
    <w:basedOn w:val="802"/>
    <w:next w:val="802"/>
    <w:link w:val="83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04">
    <w:name w:val="Heading 2"/>
    <w:basedOn w:val="802"/>
    <w:next w:val="802"/>
    <w:link w:val="83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05">
    <w:name w:val="Heading 3"/>
    <w:basedOn w:val="802"/>
    <w:next w:val="802"/>
    <w:link w:val="83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06">
    <w:name w:val="Heading 4"/>
    <w:basedOn w:val="802"/>
    <w:next w:val="802"/>
    <w:link w:val="83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07">
    <w:name w:val="Heading 5"/>
    <w:basedOn w:val="802"/>
    <w:next w:val="802"/>
    <w:link w:val="83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08">
    <w:name w:val="Heading 6"/>
    <w:basedOn w:val="802"/>
    <w:next w:val="802"/>
    <w:link w:val="83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09">
    <w:name w:val="Heading 7"/>
    <w:basedOn w:val="802"/>
    <w:next w:val="802"/>
    <w:link w:val="83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10">
    <w:name w:val="Heading 8"/>
    <w:basedOn w:val="802"/>
    <w:next w:val="802"/>
    <w:link w:val="8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11">
    <w:name w:val="Heading 9"/>
    <w:basedOn w:val="802"/>
    <w:next w:val="802"/>
    <w:link w:val="83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2" w:default="1">
    <w:name w:val="Default Paragraph Font"/>
    <w:uiPriority w:val="1"/>
    <w:semiHidden/>
    <w:unhideWhenUsed/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character" w:styleId="815" w:customStyle="1">
    <w:name w:val="Heading 1 Char"/>
    <w:basedOn w:val="812"/>
    <w:uiPriority w:val="9"/>
    <w:rPr>
      <w:rFonts w:ascii="Arial" w:hAnsi="Arial" w:eastAsia="Arial" w:cs="Arial"/>
      <w:sz w:val="40"/>
      <w:szCs w:val="40"/>
    </w:rPr>
  </w:style>
  <w:style w:type="character" w:styleId="816" w:customStyle="1">
    <w:name w:val="Heading 2 Char"/>
    <w:basedOn w:val="812"/>
    <w:uiPriority w:val="9"/>
    <w:rPr>
      <w:rFonts w:ascii="Arial" w:hAnsi="Arial" w:eastAsia="Arial" w:cs="Arial"/>
      <w:sz w:val="34"/>
    </w:rPr>
  </w:style>
  <w:style w:type="character" w:styleId="817" w:customStyle="1">
    <w:name w:val="Heading 3 Char"/>
    <w:basedOn w:val="812"/>
    <w:uiPriority w:val="9"/>
    <w:rPr>
      <w:rFonts w:ascii="Arial" w:hAnsi="Arial" w:eastAsia="Arial" w:cs="Arial"/>
      <w:sz w:val="30"/>
      <w:szCs w:val="30"/>
    </w:rPr>
  </w:style>
  <w:style w:type="character" w:styleId="818" w:customStyle="1">
    <w:name w:val="Heading 4 Char"/>
    <w:basedOn w:val="812"/>
    <w:uiPriority w:val="9"/>
    <w:rPr>
      <w:rFonts w:ascii="Arial" w:hAnsi="Arial" w:eastAsia="Arial" w:cs="Arial"/>
      <w:b/>
      <w:bCs/>
      <w:sz w:val="26"/>
      <w:szCs w:val="26"/>
    </w:rPr>
  </w:style>
  <w:style w:type="character" w:styleId="819" w:customStyle="1">
    <w:name w:val="Heading 5 Char"/>
    <w:basedOn w:val="812"/>
    <w:uiPriority w:val="9"/>
    <w:rPr>
      <w:rFonts w:ascii="Arial" w:hAnsi="Arial" w:eastAsia="Arial" w:cs="Arial"/>
      <w:b/>
      <w:bCs/>
      <w:sz w:val="24"/>
      <w:szCs w:val="24"/>
    </w:rPr>
  </w:style>
  <w:style w:type="character" w:styleId="820" w:customStyle="1">
    <w:name w:val="Heading 6 Char"/>
    <w:basedOn w:val="812"/>
    <w:uiPriority w:val="9"/>
    <w:rPr>
      <w:rFonts w:ascii="Arial" w:hAnsi="Arial" w:eastAsia="Arial" w:cs="Arial"/>
      <w:b/>
      <w:bCs/>
      <w:sz w:val="22"/>
      <w:szCs w:val="22"/>
    </w:rPr>
  </w:style>
  <w:style w:type="character" w:styleId="821" w:customStyle="1">
    <w:name w:val="Heading 7 Char"/>
    <w:basedOn w:val="8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2" w:customStyle="1">
    <w:name w:val="Heading 8 Char"/>
    <w:basedOn w:val="812"/>
    <w:uiPriority w:val="9"/>
    <w:rPr>
      <w:rFonts w:ascii="Arial" w:hAnsi="Arial" w:eastAsia="Arial" w:cs="Arial"/>
      <w:i/>
      <w:iCs/>
      <w:sz w:val="22"/>
      <w:szCs w:val="22"/>
    </w:rPr>
  </w:style>
  <w:style w:type="character" w:styleId="823" w:customStyle="1">
    <w:name w:val="Heading 9 Char"/>
    <w:basedOn w:val="812"/>
    <w:uiPriority w:val="9"/>
    <w:rPr>
      <w:rFonts w:ascii="Arial" w:hAnsi="Arial" w:eastAsia="Arial" w:cs="Arial"/>
      <w:i/>
      <w:iCs/>
      <w:sz w:val="21"/>
      <w:szCs w:val="21"/>
    </w:rPr>
  </w:style>
  <w:style w:type="character" w:styleId="824" w:customStyle="1">
    <w:name w:val="Title Char"/>
    <w:basedOn w:val="812"/>
    <w:uiPriority w:val="10"/>
    <w:rPr>
      <w:sz w:val="48"/>
      <w:szCs w:val="48"/>
    </w:rPr>
  </w:style>
  <w:style w:type="character" w:styleId="825" w:customStyle="1">
    <w:name w:val="Subtitle Char"/>
    <w:basedOn w:val="812"/>
    <w:uiPriority w:val="11"/>
    <w:rPr>
      <w:sz w:val="24"/>
      <w:szCs w:val="24"/>
    </w:rPr>
  </w:style>
  <w:style w:type="character" w:styleId="826" w:customStyle="1">
    <w:name w:val="Quote Char"/>
    <w:uiPriority w:val="29"/>
    <w:rPr>
      <w:i/>
    </w:rPr>
  </w:style>
  <w:style w:type="character" w:styleId="827" w:customStyle="1">
    <w:name w:val="Intense Quote Char"/>
    <w:uiPriority w:val="30"/>
    <w:rPr>
      <w:i/>
    </w:rPr>
  </w:style>
  <w:style w:type="character" w:styleId="828" w:customStyle="1">
    <w:name w:val="Footnote Text Char"/>
    <w:uiPriority w:val="99"/>
    <w:rPr>
      <w:sz w:val="18"/>
    </w:rPr>
  </w:style>
  <w:style w:type="character" w:styleId="829" w:customStyle="1">
    <w:name w:val="Endnote Text Char"/>
    <w:uiPriority w:val="99"/>
    <w:rPr>
      <w:sz w:val="20"/>
    </w:rPr>
  </w:style>
  <w:style w:type="character" w:styleId="830" w:customStyle="1">
    <w:name w:val="Заголовок 1 Знак"/>
    <w:basedOn w:val="812"/>
    <w:link w:val="803"/>
    <w:uiPriority w:val="9"/>
    <w:rPr>
      <w:rFonts w:ascii="Arial" w:hAnsi="Arial" w:eastAsia="Arial" w:cs="Arial"/>
      <w:sz w:val="40"/>
      <w:szCs w:val="40"/>
    </w:rPr>
  </w:style>
  <w:style w:type="character" w:styleId="831" w:customStyle="1">
    <w:name w:val="Заголовок 2 Знак"/>
    <w:basedOn w:val="812"/>
    <w:link w:val="804"/>
    <w:uiPriority w:val="9"/>
    <w:rPr>
      <w:rFonts w:ascii="Arial" w:hAnsi="Arial" w:eastAsia="Arial" w:cs="Arial"/>
      <w:sz w:val="34"/>
    </w:rPr>
  </w:style>
  <w:style w:type="character" w:styleId="832" w:customStyle="1">
    <w:name w:val="Заголовок 3 Знак"/>
    <w:basedOn w:val="812"/>
    <w:link w:val="805"/>
    <w:uiPriority w:val="9"/>
    <w:rPr>
      <w:rFonts w:ascii="Arial" w:hAnsi="Arial" w:eastAsia="Arial" w:cs="Arial"/>
      <w:sz w:val="30"/>
      <w:szCs w:val="30"/>
    </w:rPr>
  </w:style>
  <w:style w:type="character" w:styleId="833" w:customStyle="1">
    <w:name w:val="Заголовок 4 Знак"/>
    <w:basedOn w:val="812"/>
    <w:link w:val="806"/>
    <w:uiPriority w:val="9"/>
    <w:rPr>
      <w:rFonts w:ascii="Arial" w:hAnsi="Arial" w:eastAsia="Arial" w:cs="Arial"/>
      <w:b/>
      <w:bCs/>
      <w:sz w:val="26"/>
      <w:szCs w:val="26"/>
    </w:rPr>
  </w:style>
  <w:style w:type="character" w:styleId="834" w:customStyle="1">
    <w:name w:val="Заголовок 5 Знак"/>
    <w:basedOn w:val="812"/>
    <w:link w:val="807"/>
    <w:uiPriority w:val="9"/>
    <w:rPr>
      <w:rFonts w:ascii="Arial" w:hAnsi="Arial" w:eastAsia="Arial" w:cs="Arial"/>
      <w:b/>
      <w:bCs/>
      <w:sz w:val="24"/>
      <w:szCs w:val="24"/>
    </w:rPr>
  </w:style>
  <w:style w:type="character" w:styleId="835" w:customStyle="1">
    <w:name w:val="Заголовок 6 Знак"/>
    <w:basedOn w:val="812"/>
    <w:link w:val="808"/>
    <w:uiPriority w:val="9"/>
    <w:rPr>
      <w:rFonts w:ascii="Arial" w:hAnsi="Arial" w:eastAsia="Arial" w:cs="Arial"/>
      <w:b/>
      <w:bCs/>
      <w:sz w:val="22"/>
      <w:szCs w:val="22"/>
    </w:rPr>
  </w:style>
  <w:style w:type="character" w:styleId="836" w:customStyle="1">
    <w:name w:val="Заголовок 7 Знак"/>
    <w:basedOn w:val="812"/>
    <w:link w:val="8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7" w:customStyle="1">
    <w:name w:val="Заголовок 8 Знак"/>
    <w:basedOn w:val="812"/>
    <w:link w:val="810"/>
    <w:uiPriority w:val="9"/>
    <w:rPr>
      <w:rFonts w:ascii="Arial" w:hAnsi="Arial" w:eastAsia="Arial" w:cs="Arial"/>
      <w:i/>
      <w:iCs/>
      <w:sz w:val="22"/>
      <w:szCs w:val="22"/>
    </w:rPr>
  </w:style>
  <w:style w:type="character" w:styleId="838" w:customStyle="1">
    <w:name w:val="Заголовок 9 Знак"/>
    <w:basedOn w:val="812"/>
    <w:link w:val="811"/>
    <w:uiPriority w:val="9"/>
    <w:rPr>
      <w:rFonts w:ascii="Arial" w:hAnsi="Arial" w:eastAsia="Arial" w:cs="Arial"/>
      <w:i/>
      <w:iCs/>
      <w:sz w:val="21"/>
      <w:szCs w:val="21"/>
    </w:rPr>
  </w:style>
  <w:style w:type="paragraph" w:styleId="839">
    <w:name w:val="Title"/>
    <w:basedOn w:val="802"/>
    <w:next w:val="802"/>
    <w:link w:val="8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40" w:customStyle="1">
    <w:name w:val="Название Знак"/>
    <w:basedOn w:val="812"/>
    <w:link w:val="839"/>
    <w:uiPriority w:val="10"/>
    <w:rPr>
      <w:sz w:val="48"/>
      <w:szCs w:val="48"/>
    </w:rPr>
  </w:style>
  <w:style w:type="paragraph" w:styleId="841">
    <w:name w:val="Subtitle"/>
    <w:basedOn w:val="802"/>
    <w:next w:val="802"/>
    <w:link w:val="842"/>
    <w:uiPriority w:val="11"/>
    <w:qFormat/>
    <w:pPr>
      <w:spacing w:before="200" w:after="200"/>
    </w:pPr>
    <w:rPr>
      <w:sz w:val="24"/>
      <w:szCs w:val="24"/>
    </w:rPr>
  </w:style>
  <w:style w:type="character" w:styleId="842" w:customStyle="1">
    <w:name w:val="Подзаголовок Знак"/>
    <w:basedOn w:val="812"/>
    <w:link w:val="841"/>
    <w:uiPriority w:val="11"/>
    <w:rPr>
      <w:sz w:val="24"/>
      <w:szCs w:val="24"/>
    </w:rPr>
  </w:style>
  <w:style w:type="paragraph" w:styleId="843">
    <w:name w:val="Quote"/>
    <w:basedOn w:val="802"/>
    <w:next w:val="802"/>
    <w:link w:val="844"/>
    <w:uiPriority w:val="29"/>
    <w:qFormat/>
    <w:pPr>
      <w:ind w:left="720" w:right="720"/>
    </w:pPr>
    <w:rPr>
      <w:i/>
    </w:rPr>
  </w:style>
  <w:style w:type="character" w:styleId="844" w:customStyle="1">
    <w:name w:val="Цитата 2 Знак"/>
    <w:link w:val="843"/>
    <w:uiPriority w:val="29"/>
    <w:rPr>
      <w:i/>
    </w:rPr>
  </w:style>
  <w:style w:type="paragraph" w:styleId="845">
    <w:name w:val="Intense Quote"/>
    <w:basedOn w:val="802"/>
    <w:next w:val="802"/>
    <w:link w:val="84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6" w:customStyle="1">
    <w:name w:val="Выделенная цитата Знак"/>
    <w:link w:val="845"/>
    <w:uiPriority w:val="30"/>
    <w:rPr>
      <w:i/>
    </w:rPr>
  </w:style>
  <w:style w:type="character" w:styleId="847" w:customStyle="1">
    <w:name w:val="Header Char"/>
    <w:basedOn w:val="812"/>
    <w:uiPriority w:val="99"/>
  </w:style>
  <w:style w:type="character" w:styleId="848" w:customStyle="1">
    <w:name w:val="Footer Char"/>
    <w:basedOn w:val="812"/>
    <w:uiPriority w:val="99"/>
  </w:style>
  <w:style w:type="paragraph" w:styleId="849">
    <w:name w:val="Caption"/>
    <w:basedOn w:val="802"/>
    <w:next w:val="802"/>
    <w:link w:val="85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850" w:customStyle="1">
    <w:name w:val="Caption Char"/>
    <w:uiPriority w:val="35"/>
  </w:style>
  <w:style w:type="table" w:styleId="851" w:customStyle="1">
    <w:name w:val="Table Grid Light"/>
    <w:basedOn w:val="81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52">
    <w:name w:val="Plain Table 1"/>
    <w:basedOn w:val="81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3">
    <w:name w:val="Plain Table 2"/>
    <w:basedOn w:val="81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4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5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7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9" w:customStyle="1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80" w:customStyle="1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81" w:customStyle="1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82" w:customStyle="1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83" w:customStyle="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84" w:customStyle="1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85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88" w:customStyle="1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89" w:customStyle="1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90" w:customStyle="1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91" w:customStyle="1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92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3" w:customStyle="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94" w:customStyle="1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95" w:customStyle="1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96" w:customStyle="1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97" w:customStyle="1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98" w:customStyle="1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99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16" w:customStyle="1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17" w:customStyle="1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18" w:customStyle="1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919" w:customStyle="1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20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 w:customStyle="1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8" w:customStyle="1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9" w:customStyle="1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0" w:customStyle="1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1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42" w:customStyle="1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43" w:customStyle="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44" w:customStyle="1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45" w:customStyle="1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46" w:customStyle="1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47" w:customStyle="1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48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Lined - Accent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6" w:customStyle="1">
    <w:name w:val="Lined - Accent 1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57" w:customStyle="1">
    <w:name w:val="Lined - Accent 2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58" w:customStyle="1">
    <w:name w:val="Lined - Accent 3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59" w:customStyle="1">
    <w:name w:val="Lined - Accent 4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0" w:customStyle="1">
    <w:name w:val="Lined - Accent 5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61" w:customStyle="1">
    <w:name w:val="Lined - Accent 6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2" w:customStyle="1">
    <w:name w:val="Bordered &amp; Lined - Accent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3" w:customStyle="1">
    <w:name w:val="Bordered &amp; Lined - Accent 1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64" w:customStyle="1">
    <w:name w:val="Bordered &amp; Lined - Accent 2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65" w:customStyle="1">
    <w:name w:val="Bordered &amp; Lined - Accent 3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66" w:customStyle="1">
    <w:name w:val="Bordered &amp; Lined - Accent 4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7" w:customStyle="1">
    <w:name w:val="Bordered &amp; Lined - Accent 5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68" w:customStyle="1">
    <w:name w:val="Bordered &amp; Lined - Accent 6"/>
    <w:basedOn w:val="81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9" w:customStyle="1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70" w:customStyle="1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71" w:customStyle="1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72" w:customStyle="1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73" w:customStyle="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74" w:customStyle="1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75" w:customStyle="1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76">
    <w:name w:val="footnote text"/>
    <w:basedOn w:val="802"/>
    <w:link w:val="977"/>
    <w:uiPriority w:val="99"/>
    <w:semiHidden/>
    <w:unhideWhenUsed/>
    <w:pPr>
      <w:spacing w:after="40"/>
    </w:pPr>
    <w:rPr>
      <w:sz w:val="18"/>
    </w:rPr>
  </w:style>
  <w:style w:type="character" w:styleId="977" w:customStyle="1">
    <w:name w:val="Текст сноски Знак"/>
    <w:link w:val="976"/>
    <w:uiPriority w:val="99"/>
    <w:rPr>
      <w:sz w:val="18"/>
    </w:rPr>
  </w:style>
  <w:style w:type="character" w:styleId="978">
    <w:name w:val="footnote reference"/>
    <w:basedOn w:val="812"/>
    <w:uiPriority w:val="99"/>
    <w:unhideWhenUsed/>
    <w:rPr>
      <w:vertAlign w:val="superscript"/>
    </w:rPr>
  </w:style>
  <w:style w:type="paragraph" w:styleId="979">
    <w:name w:val="endnote text"/>
    <w:basedOn w:val="802"/>
    <w:link w:val="980"/>
    <w:uiPriority w:val="99"/>
    <w:semiHidden/>
    <w:unhideWhenUsed/>
  </w:style>
  <w:style w:type="character" w:styleId="980" w:customStyle="1">
    <w:name w:val="Текст концевой сноски Знак"/>
    <w:link w:val="979"/>
    <w:uiPriority w:val="99"/>
    <w:rPr>
      <w:sz w:val="20"/>
    </w:rPr>
  </w:style>
  <w:style w:type="character" w:styleId="981">
    <w:name w:val="endnote reference"/>
    <w:basedOn w:val="812"/>
    <w:uiPriority w:val="99"/>
    <w:semiHidden/>
    <w:unhideWhenUsed/>
    <w:rPr>
      <w:vertAlign w:val="superscript"/>
    </w:rPr>
  </w:style>
  <w:style w:type="paragraph" w:styleId="982">
    <w:name w:val="toc 1"/>
    <w:basedOn w:val="802"/>
    <w:next w:val="802"/>
    <w:uiPriority w:val="39"/>
    <w:unhideWhenUsed/>
    <w:pPr>
      <w:spacing w:after="57"/>
    </w:pPr>
  </w:style>
  <w:style w:type="paragraph" w:styleId="983">
    <w:name w:val="toc 2"/>
    <w:basedOn w:val="802"/>
    <w:next w:val="802"/>
    <w:uiPriority w:val="39"/>
    <w:unhideWhenUsed/>
    <w:pPr>
      <w:ind w:left="283"/>
      <w:spacing w:after="57"/>
    </w:pPr>
  </w:style>
  <w:style w:type="paragraph" w:styleId="984">
    <w:name w:val="toc 3"/>
    <w:basedOn w:val="802"/>
    <w:next w:val="802"/>
    <w:uiPriority w:val="39"/>
    <w:unhideWhenUsed/>
    <w:pPr>
      <w:ind w:left="567"/>
      <w:spacing w:after="57"/>
    </w:pPr>
  </w:style>
  <w:style w:type="paragraph" w:styleId="985">
    <w:name w:val="toc 4"/>
    <w:basedOn w:val="802"/>
    <w:next w:val="802"/>
    <w:uiPriority w:val="39"/>
    <w:unhideWhenUsed/>
    <w:pPr>
      <w:ind w:left="850"/>
      <w:spacing w:after="57"/>
    </w:pPr>
  </w:style>
  <w:style w:type="paragraph" w:styleId="986">
    <w:name w:val="toc 5"/>
    <w:basedOn w:val="802"/>
    <w:next w:val="802"/>
    <w:uiPriority w:val="39"/>
    <w:unhideWhenUsed/>
    <w:pPr>
      <w:ind w:left="1134"/>
      <w:spacing w:after="57"/>
    </w:pPr>
  </w:style>
  <w:style w:type="paragraph" w:styleId="987">
    <w:name w:val="toc 6"/>
    <w:basedOn w:val="802"/>
    <w:next w:val="802"/>
    <w:uiPriority w:val="39"/>
    <w:unhideWhenUsed/>
    <w:pPr>
      <w:ind w:left="1417"/>
      <w:spacing w:after="57"/>
    </w:pPr>
  </w:style>
  <w:style w:type="paragraph" w:styleId="988">
    <w:name w:val="toc 7"/>
    <w:basedOn w:val="802"/>
    <w:next w:val="802"/>
    <w:uiPriority w:val="39"/>
    <w:unhideWhenUsed/>
    <w:pPr>
      <w:ind w:left="1701"/>
      <w:spacing w:after="57"/>
    </w:pPr>
  </w:style>
  <w:style w:type="paragraph" w:styleId="989">
    <w:name w:val="toc 8"/>
    <w:basedOn w:val="802"/>
    <w:next w:val="802"/>
    <w:uiPriority w:val="39"/>
    <w:unhideWhenUsed/>
    <w:pPr>
      <w:ind w:left="1984"/>
      <w:spacing w:after="57"/>
    </w:pPr>
  </w:style>
  <w:style w:type="paragraph" w:styleId="990">
    <w:name w:val="toc 9"/>
    <w:basedOn w:val="802"/>
    <w:next w:val="802"/>
    <w:uiPriority w:val="39"/>
    <w:unhideWhenUsed/>
    <w:pPr>
      <w:ind w:left="2268"/>
      <w:spacing w:after="57"/>
    </w:pPr>
  </w:style>
  <w:style w:type="paragraph" w:styleId="991">
    <w:name w:val="TOC Heading"/>
    <w:uiPriority w:val="39"/>
    <w:unhideWhenUsed/>
  </w:style>
  <w:style w:type="paragraph" w:styleId="992">
    <w:name w:val="table of figures"/>
    <w:basedOn w:val="802"/>
    <w:next w:val="802"/>
    <w:uiPriority w:val="99"/>
    <w:unhideWhenUsed/>
  </w:style>
  <w:style w:type="paragraph" w:styleId="993">
    <w:name w:val="Header"/>
    <w:basedOn w:val="802"/>
    <w:link w:val="994"/>
    <w:uiPriority w:val="99"/>
    <w:pPr>
      <w:tabs>
        <w:tab w:val="center" w:pos="4153" w:leader="none"/>
        <w:tab w:val="right" w:pos="8306" w:leader="none"/>
      </w:tabs>
    </w:pPr>
  </w:style>
  <w:style w:type="character" w:styleId="994" w:customStyle="1">
    <w:name w:val="Верхний колонтитул Знак"/>
    <w:basedOn w:val="812"/>
    <w:link w:val="99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95">
    <w:name w:val="page number"/>
    <w:basedOn w:val="812"/>
  </w:style>
  <w:style w:type="character" w:styleId="996">
    <w:name w:val="Hyperlink"/>
    <w:uiPriority w:val="99"/>
    <w:rPr>
      <w:color w:val="0000ff"/>
      <w:u w:val="single"/>
    </w:rPr>
  </w:style>
  <w:style w:type="paragraph" w:styleId="997">
    <w:name w:val="Body Text"/>
    <w:basedOn w:val="802"/>
    <w:link w:val="998"/>
    <w:pPr>
      <w:spacing w:after="120"/>
    </w:pPr>
  </w:style>
  <w:style w:type="character" w:styleId="998" w:customStyle="1">
    <w:name w:val="Основной текст Знак"/>
    <w:basedOn w:val="812"/>
    <w:link w:val="997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99">
    <w:name w:val="Footer"/>
    <w:basedOn w:val="802"/>
    <w:link w:val="1000"/>
    <w:uiPriority w:val="99"/>
    <w:pPr>
      <w:tabs>
        <w:tab w:val="center" w:pos="4677" w:leader="none"/>
        <w:tab w:val="right" w:pos="9355" w:leader="none"/>
      </w:tabs>
    </w:pPr>
  </w:style>
  <w:style w:type="character" w:styleId="1000" w:customStyle="1">
    <w:name w:val="Нижний колонтитул Знак"/>
    <w:basedOn w:val="812"/>
    <w:link w:val="999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01">
    <w:name w:val="Balloon Text"/>
    <w:basedOn w:val="802"/>
    <w:link w:val="100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02" w:customStyle="1">
    <w:name w:val="Текст выноски Знак"/>
    <w:basedOn w:val="812"/>
    <w:link w:val="1001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003">
    <w:name w:val="List Paragraph"/>
    <w:basedOn w:val="802"/>
    <w:link w:val="100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04" w:customStyle="1">
    <w:name w:val="Абзац списка Знак"/>
    <w:link w:val="1003"/>
    <w:uiPriority w:val="34"/>
    <w:rPr>
      <w:rFonts w:ascii="Calibri" w:hAnsi="Calibri" w:eastAsia="Calibri" w:cs="Times New Roman"/>
    </w:rPr>
  </w:style>
  <w:style w:type="paragraph" w:styleId="1005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06" w:customStyle="1">
    <w:name w:val="Style 12 pt Bold Italic"/>
    <w:uiPriority w:val="99"/>
    <w:rPr>
      <w:rFonts w:ascii="Times New Roman" w:hAnsi="Times New Roman"/>
      <w:b/>
      <w:bCs/>
      <w:i/>
      <w:iCs/>
      <w:sz w:val="22"/>
    </w:rPr>
  </w:style>
  <w:style w:type="table" w:styleId="1007">
    <w:name w:val="Table Grid"/>
    <w:basedOn w:val="81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08" w:customStyle="1">
    <w:name w:val="Абзац 3"/>
    <w:basedOn w:val="802"/>
    <w:hidden/>
    <w:pPr>
      <w:jc w:val="both"/>
    </w:pPr>
    <w:rPr>
      <w:rFonts w:eastAsiaTheme="minorEastAsia" w:cstheme="minorBidi"/>
      <w:sz w:val="24"/>
      <w:szCs w:val="22"/>
    </w:rPr>
  </w:style>
  <w:style w:type="character" w:styleId="1009">
    <w:name w:val="Subtle Emphasis"/>
    <w:basedOn w:val="812"/>
    <w:uiPriority w:val="19"/>
    <w:rPr>
      <w:i/>
      <w:iCs/>
      <w:color w:val="404040" w:themeColor="text1" w:themeTint="BF"/>
    </w:rPr>
  </w:style>
  <w:style w:type="character" w:styleId="1010">
    <w:name w:val="Strong"/>
    <w:basedOn w:val="812"/>
    <w:uiPriority w:val="22"/>
    <w:rPr>
      <w:b/>
      <w:bCs/>
    </w:rPr>
  </w:style>
  <w:style w:type="character" w:styleId="1011" w:customStyle="1">
    <w:name w:val="Subst"/>
    <w:uiPriority w:val="99"/>
    <w:rPr>
      <w:b/>
      <w:i/>
    </w:rPr>
  </w:style>
  <w:style w:type="paragraph" w:styleId="1012" w:customStyle="1">
    <w:name w:val="Абзац 4"/>
    <w:basedOn w:val="802"/>
    <w:pPr>
      <w:jc w:val="both"/>
    </w:pPr>
    <w:rPr>
      <w:rFonts w:eastAsiaTheme="minorEastAsia" w:cstheme="minorBidi"/>
      <w:sz w:val="24"/>
      <w:szCs w:val="22"/>
    </w:rPr>
  </w:style>
  <w:style w:type="paragraph" w:styleId="1013" w:customStyle="1">
    <w:name w:val="Абзац 2"/>
    <w:basedOn w:val="802"/>
    <w:pPr>
      <w:jc w:val="both"/>
    </w:pPr>
    <w:rPr>
      <w:rFonts w:eastAsiaTheme="minorEastAsia" w:cstheme="minorBidi"/>
      <w:b/>
      <w:sz w:val="24"/>
      <w:szCs w:val="22"/>
    </w:rPr>
  </w:style>
  <w:style w:type="paragraph" w:styleId="1014" w:customStyle="1">
    <w:name w:val="docdata"/>
    <w:basedOn w:val="802"/>
    <w:pPr>
      <w:spacing w:before="100" w:beforeAutospacing="1" w:after="100" w:afterAutospacing="1"/>
    </w:pPr>
    <w:rPr>
      <w:sz w:val="24"/>
      <w:szCs w:val="24"/>
    </w:rPr>
  </w:style>
  <w:style w:type="paragraph" w:styleId="1015">
    <w:name w:val="Normal (Web)"/>
    <w:basedOn w:val="802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1016">
    <w:name w:val="Body Text Indent 2"/>
    <w:basedOn w:val="802"/>
    <w:link w:val="1017"/>
    <w:uiPriority w:val="99"/>
    <w:unhideWhenUsed/>
    <w:pPr>
      <w:ind w:left="283"/>
      <w:spacing w:after="120" w:line="480" w:lineRule="auto"/>
    </w:pPr>
    <w:rPr>
      <w:rFonts w:ascii="Calibri" w:hAnsi="Calibri" w:eastAsia="Calibri"/>
      <w:sz w:val="22"/>
      <w:szCs w:val="22"/>
      <w:lang w:eastAsia="en-US"/>
    </w:rPr>
  </w:style>
  <w:style w:type="character" w:styleId="1017" w:customStyle="1">
    <w:name w:val="Основной текст с отступом 2 Знак"/>
    <w:basedOn w:val="812"/>
    <w:link w:val="1016"/>
    <w:uiPriority w:val="99"/>
    <w:rPr>
      <w:rFonts w:ascii="Calibri" w:hAnsi="Calibri" w:eastAsia="Calibri" w:cs="Times New Roman"/>
    </w:rPr>
  </w:style>
  <w:style w:type="table" w:styleId="1018" w:customStyle="1">
    <w:name w:val="Таблица 1"/>
    <w:hidden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40" w:type="dxa"/>
        <w:top w:w="20" w:type="dxa"/>
        <w:right w:w="40" w:type="dxa"/>
        <w:bottom w:w="20" w:type="dxa"/>
      </w:tblCellMar>
    </w:tblPr>
    <w:trPr>
      <w:cantSplit w:val="false"/>
      <w:jc w:val="left"/>
    </w:trPr>
    <w:tcPr>
      <w:shd w:val="clear" w:color="auto" w:fill="auto"/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s://www.ogk2.ru" TargetMode="External"/><Relationship Id="rId13" Type="http://schemas.openxmlformats.org/officeDocument/2006/relationships/hyperlink" Target="https://www.e-disclosure.ru/portal/company.aspx?id=72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9C31D-4A8E-4167-A42B-50F4426E2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Белокур Елена Викторовна</dc:creator>
  <cp:keywords/>
  <dc:description/>
  <cp:lastModifiedBy>golubeva.valentina</cp:lastModifiedBy>
  <cp:revision>27</cp:revision>
  <dcterms:created xsi:type="dcterms:W3CDTF">2025-05-21T12:55:00Z</dcterms:created>
  <dcterms:modified xsi:type="dcterms:W3CDTF">2026-09-28T11:58:35Z</dcterms:modified>
</cp:coreProperties>
</file>