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491C5A">
        <w:rPr>
          <w:b/>
          <w:bCs/>
          <w:sz w:val="22"/>
          <w:szCs w:val="22"/>
        </w:rPr>
        <w:t>Сообщение о существенном факте</w:t>
      </w:r>
      <w:r w:rsidRPr="00491C5A">
        <w:rPr>
          <w:b/>
          <w:bCs/>
          <w:sz w:val="22"/>
          <w:szCs w:val="22"/>
        </w:rPr>
        <w:br/>
        <w:t>«</w:t>
      </w:r>
      <w:r w:rsidR="004E1FCE" w:rsidRPr="00491C5A">
        <w:rPr>
          <w:b/>
          <w:color w:val="000000"/>
          <w:sz w:val="22"/>
          <w:szCs w:val="22"/>
        </w:rPr>
        <w:t>О</w:t>
      </w:r>
      <w:r w:rsidRPr="00491C5A">
        <w:rPr>
          <w:b/>
          <w:color w:val="000000"/>
          <w:sz w:val="22"/>
          <w:szCs w:val="22"/>
        </w:rPr>
        <w:t>б отдельных решениях, принятых советом директоров эмитента»</w:t>
      </w:r>
    </w:p>
    <w:p w:rsidR="00491C5A" w:rsidRPr="00491C5A" w:rsidRDefault="00491C5A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953"/>
      </w:tblGrid>
      <w:tr w:rsidR="00706628" w:rsidRPr="000622CF" w:rsidTr="001F2D17">
        <w:tc>
          <w:tcPr>
            <w:tcW w:w="11199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>356126, Ставропольский край, р-н Изобильненский ,                          п. Солнечнодольск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1F2D1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70B6C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C70B6C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E056A2" w:rsidP="001D7054">
            <w:pPr>
              <w:ind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05.12</w:t>
            </w:r>
            <w:r w:rsidR="00CE207B" w:rsidRPr="000622CF">
              <w:rPr>
                <w:b/>
                <w:color w:val="000000"/>
                <w:shd w:val="clear" w:color="auto" w:fill="FFFFFF"/>
              </w:rPr>
              <w:t>.2022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9"/>
      </w:tblGrid>
      <w:tr w:rsidR="00706628" w:rsidRPr="000622CF" w:rsidTr="001F2D17">
        <w:tc>
          <w:tcPr>
            <w:tcW w:w="11199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1F2D17">
        <w:trPr>
          <w:trHeight w:val="554"/>
        </w:trPr>
        <w:tc>
          <w:tcPr>
            <w:tcW w:w="11199" w:type="dxa"/>
          </w:tcPr>
          <w:p w:rsidR="00B61A88" w:rsidRPr="008E6071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6071">
              <w:t xml:space="preserve">2.1. </w:t>
            </w:r>
            <w:r w:rsidR="00B61A88" w:rsidRPr="008E607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8E6071" w:rsidRDefault="00706628" w:rsidP="00B61A88">
            <w:pPr>
              <w:ind w:right="57"/>
            </w:pPr>
            <w:r w:rsidRPr="008E6071">
              <w:rPr>
                <w:b/>
              </w:rPr>
              <w:t>В заочно</w:t>
            </w:r>
            <w:r w:rsidR="00713852" w:rsidRPr="008E6071">
              <w:rPr>
                <w:b/>
              </w:rPr>
              <w:t>м голосовании приняли участие 11</w:t>
            </w:r>
            <w:r w:rsidR="00617800" w:rsidRPr="008E6071">
              <w:rPr>
                <w:b/>
              </w:rPr>
              <w:t xml:space="preserve"> из 11</w:t>
            </w:r>
            <w:r w:rsidRPr="008E6071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8E6071">
              <w:t>.</w:t>
            </w:r>
          </w:p>
          <w:p w:rsidR="00706628" w:rsidRPr="008E6071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8E6071">
              <w:t>2.2. Содержание решений, принятых советом директоров эмитента:</w:t>
            </w:r>
          </w:p>
          <w:p w:rsidR="00706628" w:rsidRPr="008E6071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8E6071" w:rsidRDefault="00706628" w:rsidP="003F4A67">
            <w:pPr>
              <w:pStyle w:val="a7"/>
              <w:widowControl w:val="0"/>
              <w:rPr>
                <w:b/>
              </w:rPr>
            </w:pPr>
            <w:r w:rsidRPr="008E6071">
              <w:rPr>
                <w:b/>
              </w:rPr>
              <w:t>Вопрос:</w:t>
            </w:r>
          </w:p>
          <w:p w:rsidR="009B7638" w:rsidRPr="00E056A2" w:rsidRDefault="00E056A2" w:rsidP="00E056A2">
            <w:pPr>
              <w:pStyle w:val="ad"/>
              <w:ind w:left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E056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2. Об утверждении скорректированного бизнес-плана ПАО «ОГК-2» на 2022 год и скорректированных ключевых показателей деятельности на 2022 год.</w:t>
            </w:r>
            <w:bookmarkStart w:id="0" w:name="_GoBack"/>
            <w:bookmarkEnd w:id="0"/>
          </w:p>
          <w:p w:rsidR="008E6071" w:rsidRPr="008E6071" w:rsidRDefault="00C6046E" w:rsidP="008E607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>
              <w:t xml:space="preserve">Результаты </w:t>
            </w:r>
            <w:r w:rsidR="00B93559">
              <w:t>голосования: За –</w:t>
            </w:r>
            <w:r w:rsidR="007613DD">
              <w:t xml:space="preserve"> 10, Против – 0, Воздержался – 1</w:t>
            </w:r>
            <w:r w:rsidR="008E6071" w:rsidRPr="008E6071">
              <w:t>, не учитывались при голосовании – 0.</w:t>
            </w:r>
          </w:p>
          <w:p w:rsidR="008E6071" w:rsidRPr="008E6071" w:rsidRDefault="008E6071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CE1D80" w:rsidRPr="008E6071" w:rsidRDefault="00CE1D80" w:rsidP="00CE1D80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E056A2" w:rsidRDefault="00E056A2" w:rsidP="00E056A2">
            <w:pPr>
              <w:pStyle w:val="a7"/>
              <w:tabs>
                <w:tab w:val="left" w:pos="426"/>
              </w:tabs>
              <w:jc w:val="both"/>
            </w:pPr>
            <w:r>
              <w:t>1.1.</w:t>
            </w:r>
            <w:r>
              <w:tab/>
              <w:t xml:space="preserve">Утвердить скорректированный бизнес-план ПАО «ОГК-2» на 2022 год согласно Приложению № 2.1. к </w:t>
            </w:r>
            <w:r w:rsidR="008357A3">
              <w:t>решению Совета директоров</w:t>
            </w:r>
            <w:r>
              <w:t>.</w:t>
            </w:r>
          </w:p>
          <w:p w:rsidR="00E056A2" w:rsidRDefault="009608A4" w:rsidP="009608A4">
            <w:pPr>
              <w:pStyle w:val="a7"/>
              <w:tabs>
                <w:tab w:val="left" w:pos="426"/>
              </w:tabs>
              <w:spacing w:after="0"/>
              <w:jc w:val="both"/>
            </w:pPr>
            <w:r>
              <w:t xml:space="preserve">1.2. </w:t>
            </w:r>
            <w:r w:rsidR="00E056A2">
              <w:t xml:space="preserve">Утвердить скорректированные целевые значения ключевых показателей деятельности в функциональной области «бюджетирование» на 2022 год согласно Приложению № 2.2. к </w:t>
            </w:r>
            <w:r w:rsidR="008357A3">
              <w:t>решению Совета директоров.</w:t>
            </w:r>
          </w:p>
          <w:p w:rsidR="00E056A2" w:rsidRDefault="00E056A2" w:rsidP="00E056A2">
            <w:pPr>
              <w:pStyle w:val="a7"/>
              <w:tabs>
                <w:tab w:val="left" w:pos="426"/>
              </w:tabs>
              <w:spacing w:after="0"/>
              <w:jc w:val="both"/>
            </w:pPr>
          </w:p>
          <w:p w:rsidR="00E056A2" w:rsidRDefault="00E056A2" w:rsidP="00E056A2">
            <w:pPr>
              <w:pStyle w:val="a7"/>
              <w:numPr>
                <w:ilvl w:val="0"/>
                <w:numId w:val="24"/>
              </w:numPr>
              <w:tabs>
                <w:tab w:val="left" w:pos="426"/>
              </w:tabs>
              <w:spacing w:after="0"/>
              <w:ind w:left="397"/>
              <w:jc w:val="both"/>
            </w:pPr>
            <w:r w:rsidRPr="00E056A2">
              <w:rPr>
                <w:b/>
                <w:bCs/>
              </w:rPr>
              <w:t>Об определении приоритетных на</w:t>
            </w:r>
            <w:r>
              <w:rPr>
                <w:b/>
                <w:bCs/>
              </w:rPr>
              <w:t>правлений деятельности Общества.</w:t>
            </w:r>
          </w:p>
          <w:p w:rsidR="00024A4D" w:rsidRPr="00024A4D" w:rsidRDefault="00024A4D" w:rsidP="00024A4D">
            <w:pPr>
              <w:widowControl w:val="0"/>
              <w:jc w:val="both"/>
              <w:rPr>
                <w:b/>
                <w:bCs/>
                <w:i/>
                <w:iCs/>
                <w:caps/>
                <w:szCs w:val="24"/>
              </w:rPr>
            </w:pPr>
          </w:p>
          <w:p w:rsidR="00E056A2" w:rsidRDefault="00E056A2" w:rsidP="00E056A2">
            <w:pPr>
              <w:pStyle w:val="a7"/>
              <w:widowControl w:val="0"/>
              <w:jc w:val="both"/>
            </w:pPr>
            <w:r>
              <w:t>3.1. О рассмотрении отчета о выполнении Плана мероприятий по повышению операционной эффективности и оптимизации расходов ПАО «ОГК-2» за 9 месяцев 2022 года.</w:t>
            </w:r>
          </w:p>
          <w:p w:rsidR="00024A4D" w:rsidRDefault="00024A4D" w:rsidP="00024A4D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>
              <w:t>Результаты голосования: За – 11, Против – 0, Воздержался – 0</w:t>
            </w:r>
            <w:r w:rsidRPr="008E6071">
              <w:t>, не учитывались при голосовании – 0.</w:t>
            </w:r>
          </w:p>
          <w:p w:rsidR="00491C5A" w:rsidRPr="008E6071" w:rsidRDefault="00491C5A" w:rsidP="00024A4D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</w:p>
          <w:p w:rsidR="00491C5A" w:rsidRDefault="00491C5A" w:rsidP="00491C5A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E056A2" w:rsidRPr="00E056A2" w:rsidRDefault="00E056A2" w:rsidP="00E056A2">
            <w:pPr>
              <w:widowControl w:val="0"/>
              <w:tabs>
                <w:tab w:val="left" w:pos="1276"/>
              </w:tabs>
              <w:autoSpaceDE/>
              <w:autoSpaceDN/>
              <w:jc w:val="both"/>
            </w:pPr>
            <w:r w:rsidRPr="00E056A2">
              <w:t xml:space="preserve">Утвердить отчет о выполнении Плана мероприятий по повышению операционной эффективности и оптимизации расходов </w:t>
            </w:r>
            <w:r w:rsidR="009608A4">
              <w:t xml:space="preserve">                  </w:t>
            </w:r>
            <w:r w:rsidRPr="00E056A2">
              <w:t xml:space="preserve">ПАО «ОГК-2» за 9 месяцев 2022 года, в соответствии с Приложением № 3 к </w:t>
            </w:r>
            <w:r w:rsidR="008357A3">
              <w:t>решению Совета директоров.</w:t>
            </w:r>
          </w:p>
          <w:p w:rsidR="00926AF6" w:rsidRPr="00926AF6" w:rsidRDefault="00926AF6" w:rsidP="00926AF6">
            <w:pPr>
              <w:jc w:val="both"/>
            </w:pPr>
          </w:p>
          <w:p w:rsidR="00706628" w:rsidRPr="008E6071" w:rsidRDefault="00706628" w:rsidP="00D3164E">
            <w:pPr>
              <w:ind w:right="57" w:firstLine="21"/>
              <w:jc w:val="both"/>
              <w:rPr>
                <w:b/>
                <w:color w:val="000000"/>
              </w:rPr>
            </w:pPr>
            <w:r w:rsidRPr="008E6071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8E6071">
              <w:rPr>
                <w:b/>
                <w:color w:val="000000"/>
              </w:rPr>
              <w:t xml:space="preserve"> </w:t>
            </w:r>
            <w:r w:rsidR="00E056A2">
              <w:rPr>
                <w:b/>
                <w:color w:val="000000"/>
              </w:rPr>
              <w:t>05</w:t>
            </w:r>
            <w:r w:rsidR="00CE25EE" w:rsidRPr="008E6071">
              <w:rPr>
                <w:b/>
                <w:color w:val="000000"/>
              </w:rPr>
              <w:t>.</w:t>
            </w:r>
            <w:r w:rsidR="00E056A2">
              <w:rPr>
                <w:b/>
                <w:color w:val="000000"/>
              </w:rPr>
              <w:t>12</w:t>
            </w:r>
            <w:r w:rsidR="004A3C11" w:rsidRPr="008E6071">
              <w:rPr>
                <w:b/>
                <w:color w:val="000000"/>
              </w:rPr>
              <w:t>.</w:t>
            </w:r>
            <w:r w:rsidR="00855BEA" w:rsidRPr="008E6071">
              <w:rPr>
                <w:b/>
                <w:color w:val="000000"/>
              </w:rPr>
              <w:t>2022</w:t>
            </w:r>
            <w:r w:rsidRPr="008E6071">
              <w:rPr>
                <w:b/>
                <w:color w:val="000000"/>
              </w:rPr>
              <w:t>.</w:t>
            </w:r>
          </w:p>
          <w:p w:rsidR="00653AEE" w:rsidRPr="008E6071" w:rsidRDefault="00706628" w:rsidP="004E1FCE">
            <w:pPr>
              <w:ind w:right="57" w:firstLine="21"/>
              <w:jc w:val="both"/>
              <w:rPr>
                <w:b/>
              </w:rPr>
            </w:pPr>
            <w:r w:rsidRPr="008E6071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8E6071">
              <w:rPr>
                <w:b/>
              </w:rPr>
              <w:t>Протокол от</w:t>
            </w:r>
            <w:r w:rsidR="00713B20" w:rsidRPr="008E6071">
              <w:rPr>
                <w:b/>
              </w:rPr>
              <w:t xml:space="preserve"> </w:t>
            </w:r>
            <w:r w:rsidR="00E056A2">
              <w:rPr>
                <w:b/>
              </w:rPr>
              <w:t>05.12</w:t>
            </w:r>
            <w:r w:rsidR="00EB3E6C" w:rsidRPr="008E6071">
              <w:rPr>
                <w:b/>
              </w:rPr>
              <w:t>.20</w:t>
            </w:r>
            <w:r w:rsidR="00E91993" w:rsidRPr="008E6071">
              <w:rPr>
                <w:b/>
              </w:rPr>
              <w:t>22</w:t>
            </w:r>
            <w:r w:rsidR="00E056A2">
              <w:rPr>
                <w:b/>
              </w:rPr>
              <w:t xml:space="preserve"> № 290</w:t>
            </w:r>
            <w:r w:rsidRPr="008E6071">
              <w:rPr>
                <w:b/>
              </w:rPr>
              <w:t>.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52"/>
        <w:gridCol w:w="567"/>
      </w:tblGrid>
      <w:tr w:rsidR="00706628" w:rsidRPr="000622CF" w:rsidTr="001F2D17">
        <w:trPr>
          <w:cantSplit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9608A4">
        <w:trPr>
          <w:cantSplit/>
          <w:trHeight w:val="1074"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3164E" w:rsidRPr="00D3164E" w:rsidRDefault="00706628" w:rsidP="00D3164E">
            <w:pPr>
              <w:ind w:left="57"/>
              <w:rPr>
                <w:b/>
              </w:rPr>
            </w:pPr>
            <w:r w:rsidRPr="000641B1">
              <w:rPr>
                <w:b/>
              </w:rPr>
              <w:t>3.1. </w:t>
            </w:r>
            <w:r w:rsidR="00D3164E" w:rsidRPr="00D3164E">
              <w:rPr>
                <w:b/>
              </w:rPr>
              <w:t>Заместитель управляющего директора</w:t>
            </w:r>
          </w:p>
          <w:p w:rsidR="00D3164E" w:rsidRPr="002F4A6A" w:rsidRDefault="00D3164E" w:rsidP="002F4A6A">
            <w:pPr>
              <w:ind w:left="57"/>
              <w:rPr>
                <w:b/>
              </w:rPr>
            </w:pPr>
            <w:r w:rsidRPr="00D3164E"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  <w:r w:rsidRPr="00D3164E">
              <w:t xml:space="preserve"> </w:t>
            </w:r>
          </w:p>
          <w:p w:rsidR="00706628" w:rsidRPr="00943FB6" w:rsidRDefault="00706628" w:rsidP="009C72E0">
            <w:pPr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D3164E">
              <w:rPr>
                <w:b/>
              </w:rPr>
              <w:t>М.А. Чалый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9608A4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AE1F82">
        <w:trPr>
          <w:cantSplit/>
          <w:trHeight w:val="102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0C152A" w:rsidP="00024A4D">
            <w:r>
              <w:t>«06</w:t>
            </w:r>
            <w:r w:rsidR="00024A4D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E056A2" w:rsidP="00667C96">
            <w: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855BEA" w:rsidP="00667C96">
            <w:r w:rsidRPr="000622CF"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1F2D1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F454A5">
            <w:pPr>
              <w:ind w:left="-28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4A0305">
      <w:headerReference w:type="even" r:id="rId10"/>
      <w:footerReference w:type="default" r:id="rId11"/>
      <w:pgSz w:w="11906" w:h="16838"/>
      <w:pgMar w:top="284" w:right="851" w:bottom="0" w:left="993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6C" w:rsidRDefault="00C70B6C">
      <w:r>
        <w:separator/>
      </w:r>
    </w:p>
  </w:endnote>
  <w:endnote w:type="continuationSeparator" w:id="0">
    <w:p w:rsidR="00C70B6C" w:rsidRDefault="00C7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24A4D">
      <w:rPr>
        <w:noProof/>
      </w:rPr>
      <w:t>2</w:t>
    </w:r>
    <w:r>
      <w:fldChar w:fldCharType="end"/>
    </w:r>
  </w:p>
  <w:p w:rsidR="0088447D" w:rsidRDefault="00C70B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6C" w:rsidRDefault="00C70B6C">
      <w:r>
        <w:separator/>
      </w:r>
    </w:p>
  </w:footnote>
  <w:footnote w:type="continuationSeparator" w:id="0">
    <w:p w:rsidR="00C70B6C" w:rsidRDefault="00C70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C70B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8695DC1"/>
    <w:multiLevelType w:val="multilevel"/>
    <w:tmpl w:val="125ED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6320A"/>
    <w:multiLevelType w:val="hybridMultilevel"/>
    <w:tmpl w:val="319CA468"/>
    <w:lvl w:ilvl="0" w:tplc="968CFA12">
      <w:start w:val="2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AC31C07"/>
    <w:multiLevelType w:val="hybridMultilevel"/>
    <w:tmpl w:val="21E8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214FFE"/>
    <w:multiLevelType w:val="hybridMultilevel"/>
    <w:tmpl w:val="6E2266BC"/>
    <w:lvl w:ilvl="0" w:tplc="9B06CE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D09A0"/>
    <w:multiLevelType w:val="multilevel"/>
    <w:tmpl w:val="72CC7D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AD2812"/>
    <w:multiLevelType w:val="hybridMultilevel"/>
    <w:tmpl w:val="FD265D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11"/>
  </w:num>
  <w:num w:numId="5">
    <w:abstractNumId w:val="21"/>
  </w:num>
  <w:num w:numId="6">
    <w:abstractNumId w:val="19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16"/>
  </w:num>
  <w:num w:numId="12">
    <w:abstractNumId w:val="3"/>
  </w:num>
  <w:num w:numId="13">
    <w:abstractNumId w:val="0"/>
  </w:num>
  <w:num w:numId="14">
    <w:abstractNumId w:val="15"/>
  </w:num>
  <w:num w:numId="15">
    <w:abstractNumId w:val="18"/>
  </w:num>
  <w:num w:numId="16">
    <w:abstractNumId w:val="13"/>
  </w:num>
  <w:num w:numId="17">
    <w:abstractNumId w:val="22"/>
  </w:num>
  <w:num w:numId="18">
    <w:abstractNumId w:val="5"/>
  </w:num>
  <w:num w:numId="19">
    <w:abstractNumId w:val="17"/>
  </w:num>
  <w:num w:numId="20">
    <w:abstractNumId w:val="4"/>
  </w:num>
  <w:num w:numId="21">
    <w:abstractNumId w:val="1"/>
  </w:num>
  <w:num w:numId="22">
    <w:abstractNumId w:val="20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46C2"/>
    <w:rsid w:val="00005D0D"/>
    <w:rsid w:val="0001265E"/>
    <w:rsid w:val="00024A4D"/>
    <w:rsid w:val="000338F0"/>
    <w:rsid w:val="00041191"/>
    <w:rsid w:val="00050DF5"/>
    <w:rsid w:val="00055D7D"/>
    <w:rsid w:val="000622CF"/>
    <w:rsid w:val="000641B1"/>
    <w:rsid w:val="000645F9"/>
    <w:rsid w:val="00070097"/>
    <w:rsid w:val="00070C2B"/>
    <w:rsid w:val="00071C59"/>
    <w:rsid w:val="00081EA6"/>
    <w:rsid w:val="00090D5B"/>
    <w:rsid w:val="00091CA1"/>
    <w:rsid w:val="00093F01"/>
    <w:rsid w:val="000A050D"/>
    <w:rsid w:val="000A0FB3"/>
    <w:rsid w:val="000A70B8"/>
    <w:rsid w:val="000A7EFB"/>
    <w:rsid w:val="000B0809"/>
    <w:rsid w:val="000B68BA"/>
    <w:rsid w:val="000C146A"/>
    <w:rsid w:val="000C152A"/>
    <w:rsid w:val="000C5AB0"/>
    <w:rsid w:val="000D1FF8"/>
    <w:rsid w:val="000D3DBD"/>
    <w:rsid w:val="000D7DD9"/>
    <w:rsid w:val="000E5D25"/>
    <w:rsid w:val="000F687B"/>
    <w:rsid w:val="001010D4"/>
    <w:rsid w:val="0010390E"/>
    <w:rsid w:val="001053E4"/>
    <w:rsid w:val="00113BE1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86072"/>
    <w:rsid w:val="00193102"/>
    <w:rsid w:val="00196D18"/>
    <w:rsid w:val="001A75DA"/>
    <w:rsid w:val="001B756F"/>
    <w:rsid w:val="001C5788"/>
    <w:rsid w:val="001C6EAF"/>
    <w:rsid w:val="001D15CD"/>
    <w:rsid w:val="001D7054"/>
    <w:rsid w:val="001E1295"/>
    <w:rsid w:val="001F2D17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B18EA"/>
    <w:rsid w:val="002B3C72"/>
    <w:rsid w:val="002B44EF"/>
    <w:rsid w:val="002B67A7"/>
    <w:rsid w:val="002C7E34"/>
    <w:rsid w:val="002D1869"/>
    <w:rsid w:val="002D63C4"/>
    <w:rsid w:val="002E21ED"/>
    <w:rsid w:val="002F0627"/>
    <w:rsid w:val="002F24D8"/>
    <w:rsid w:val="002F46B8"/>
    <w:rsid w:val="002F4A6A"/>
    <w:rsid w:val="002F4EA6"/>
    <w:rsid w:val="0030476E"/>
    <w:rsid w:val="003073E6"/>
    <w:rsid w:val="00310DB3"/>
    <w:rsid w:val="00312013"/>
    <w:rsid w:val="003129E1"/>
    <w:rsid w:val="00312BC2"/>
    <w:rsid w:val="00315909"/>
    <w:rsid w:val="003176E9"/>
    <w:rsid w:val="00326D66"/>
    <w:rsid w:val="00327353"/>
    <w:rsid w:val="003309C4"/>
    <w:rsid w:val="00330CFE"/>
    <w:rsid w:val="0033146F"/>
    <w:rsid w:val="003332AB"/>
    <w:rsid w:val="00334330"/>
    <w:rsid w:val="0035109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E2099"/>
    <w:rsid w:val="003F4A67"/>
    <w:rsid w:val="003F6A38"/>
    <w:rsid w:val="00406C24"/>
    <w:rsid w:val="00411BC4"/>
    <w:rsid w:val="004127E1"/>
    <w:rsid w:val="00425187"/>
    <w:rsid w:val="004252AD"/>
    <w:rsid w:val="004263AA"/>
    <w:rsid w:val="004419A2"/>
    <w:rsid w:val="00447618"/>
    <w:rsid w:val="00457116"/>
    <w:rsid w:val="00461C98"/>
    <w:rsid w:val="00485D8D"/>
    <w:rsid w:val="00487835"/>
    <w:rsid w:val="00491C5A"/>
    <w:rsid w:val="0049328D"/>
    <w:rsid w:val="004A0305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3954"/>
    <w:rsid w:val="005862EA"/>
    <w:rsid w:val="0059717C"/>
    <w:rsid w:val="005A1BD0"/>
    <w:rsid w:val="005A2F40"/>
    <w:rsid w:val="005B52F3"/>
    <w:rsid w:val="005B67C8"/>
    <w:rsid w:val="005C2D58"/>
    <w:rsid w:val="005C3C94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2692F"/>
    <w:rsid w:val="00635385"/>
    <w:rsid w:val="00637CDD"/>
    <w:rsid w:val="00640EC2"/>
    <w:rsid w:val="00653AEE"/>
    <w:rsid w:val="0065410A"/>
    <w:rsid w:val="0066420D"/>
    <w:rsid w:val="00673A7D"/>
    <w:rsid w:val="006A3C0B"/>
    <w:rsid w:val="006B103A"/>
    <w:rsid w:val="006F0285"/>
    <w:rsid w:val="006F10E2"/>
    <w:rsid w:val="006F65E5"/>
    <w:rsid w:val="007002A7"/>
    <w:rsid w:val="007030BF"/>
    <w:rsid w:val="00706628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5416"/>
    <w:rsid w:val="00746799"/>
    <w:rsid w:val="007613DD"/>
    <w:rsid w:val="00772F78"/>
    <w:rsid w:val="00775A68"/>
    <w:rsid w:val="00775E2D"/>
    <w:rsid w:val="00787114"/>
    <w:rsid w:val="007876AF"/>
    <w:rsid w:val="00797976"/>
    <w:rsid w:val="00797F0D"/>
    <w:rsid w:val="007A1028"/>
    <w:rsid w:val="007A26AE"/>
    <w:rsid w:val="007A399F"/>
    <w:rsid w:val="007A5EC7"/>
    <w:rsid w:val="007A71AB"/>
    <w:rsid w:val="007B16D6"/>
    <w:rsid w:val="007B3391"/>
    <w:rsid w:val="007C0EE9"/>
    <w:rsid w:val="007C6206"/>
    <w:rsid w:val="007D0676"/>
    <w:rsid w:val="007D469B"/>
    <w:rsid w:val="007F4382"/>
    <w:rsid w:val="007F74E5"/>
    <w:rsid w:val="007F7C70"/>
    <w:rsid w:val="00802AC5"/>
    <w:rsid w:val="00813425"/>
    <w:rsid w:val="00817C9B"/>
    <w:rsid w:val="008357A3"/>
    <w:rsid w:val="00855BEA"/>
    <w:rsid w:val="00856C64"/>
    <w:rsid w:val="00860976"/>
    <w:rsid w:val="0086227F"/>
    <w:rsid w:val="008638D1"/>
    <w:rsid w:val="00864576"/>
    <w:rsid w:val="00870353"/>
    <w:rsid w:val="00870C3C"/>
    <w:rsid w:val="00871DEF"/>
    <w:rsid w:val="00876E0E"/>
    <w:rsid w:val="00884AC5"/>
    <w:rsid w:val="008868D8"/>
    <w:rsid w:val="008907E3"/>
    <w:rsid w:val="008934B3"/>
    <w:rsid w:val="0089501E"/>
    <w:rsid w:val="008A063A"/>
    <w:rsid w:val="008A3B15"/>
    <w:rsid w:val="008A5757"/>
    <w:rsid w:val="008C2988"/>
    <w:rsid w:val="008C3FAC"/>
    <w:rsid w:val="008C5683"/>
    <w:rsid w:val="008D3295"/>
    <w:rsid w:val="008D4389"/>
    <w:rsid w:val="008D7AA9"/>
    <w:rsid w:val="008E37E8"/>
    <w:rsid w:val="008E5A11"/>
    <w:rsid w:val="008E6071"/>
    <w:rsid w:val="009166DE"/>
    <w:rsid w:val="009177AB"/>
    <w:rsid w:val="00917860"/>
    <w:rsid w:val="009212D8"/>
    <w:rsid w:val="009236B3"/>
    <w:rsid w:val="00926AF6"/>
    <w:rsid w:val="009313B8"/>
    <w:rsid w:val="00933BEE"/>
    <w:rsid w:val="009349A9"/>
    <w:rsid w:val="00934C6A"/>
    <w:rsid w:val="00943FB6"/>
    <w:rsid w:val="00944FFD"/>
    <w:rsid w:val="00947D11"/>
    <w:rsid w:val="00954573"/>
    <w:rsid w:val="00954AA3"/>
    <w:rsid w:val="00955AD0"/>
    <w:rsid w:val="00955CD7"/>
    <w:rsid w:val="009608A4"/>
    <w:rsid w:val="00963F09"/>
    <w:rsid w:val="00974A1B"/>
    <w:rsid w:val="0097501A"/>
    <w:rsid w:val="00977D62"/>
    <w:rsid w:val="009807ED"/>
    <w:rsid w:val="00984090"/>
    <w:rsid w:val="00984DFF"/>
    <w:rsid w:val="00991D42"/>
    <w:rsid w:val="00994D50"/>
    <w:rsid w:val="00995AB2"/>
    <w:rsid w:val="009B5F7D"/>
    <w:rsid w:val="009B7638"/>
    <w:rsid w:val="009C2F1C"/>
    <w:rsid w:val="009C72E0"/>
    <w:rsid w:val="009D014A"/>
    <w:rsid w:val="009E4256"/>
    <w:rsid w:val="009E659E"/>
    <w:rsid w:val="009F1B9E"/>
    <w:rsid w:val="009F20E5"/>
    <w:rsid w:val="009F59BE"/>
    <w:rsid w:val="00A03E86"/>
    <w:rsid w:val="00A121A4"/>
    <w:rsid w:val="00A15617"/>
    <w:rsid w:val="00A229A3"/>
    <w:rsid w:val="00A2592C"/>
    <w:rsid w:val="00A3728D"/>
    <w:rsid w:val="00A514CB"/>
    <w:rsid w:val="00A51F80"/>
    <w:rsid w:val="00A52CA9"/>
    <w:rsid w:val="00A605AF"/>
    <w:rsid w:val="00A64053"/>
    <w:rsid w:val="00A70479"/>
    <w:rsid w:val="00A71708"/>
    <w:rsid w:val="00A80FF2"/>
    <w:rsid w:val="00A8705D"/>
    <w:rsid w:val="00A92E98"/>
    <w:rsid w:val="00A94914"/>
    <w:rsid w:val="00AA23D2"/>
    <w:rsid w:val="00AB2810"/>
    <w:rsid w:val="00AB639E"/>
    <w:rsid w:val="00AC1586"/>
    <w:rsid w:val="00AD426F"/>
    <w:rsid w:val="00AD5F01"/>
    <w:rsid w:val="00AD766B"/>
    <w:rsid w:val="00AE0054"/>
    <w:rsid w:val="00AE1F82"/>
    <w:rsid w:val="00AF1AF0"/>
    <w:rsid w:val="00AF3059"/>
    <w:rsid w:val="00AF5387"/>
    <w:rsid w:val="00B01A51"/>
    <w:rsid w:val="00B11220"/>
    <w:rsid w:val="00B13F68"/>
    <w:rsid w:val="00B22D44"/>
    <w:rsid w:val="00B27367"/>
    <w:rsid w:val="00B27721"/>
    <w:rsid w:val="00B465D8"/>
    <w:rsid w:val="00B46FA7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93559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3795F"/>
    <w:rsid w:val="00C410E2"/>
    <w:rsid w:val="00C6046E"/>
    <w:rsid w:val="00C6165A"/>
    <w:rsid w:val="00C64B59"/>
    <w:rsid w:val="00C70B6C"/>
    <w:rsid w:val="00C7483C"/>
    <w:rsid w:val="00C74C33"/>
    <w:rsid w:val="00C80822"/>
    <w:rsid w:val="00C83DC3"/>
    <w:rsid w:val="00C847BB"/>
    <w:rsid w:val="00C86DFB"/>
    <w:rsid w:val="00C87691"/>
    <w:rsid w:val="00C918CC"/>
    <w:rsid w:val="00C9483E"/>
    <w:rsid w:val="00CA5775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F6D0B"/>
    <w:rsid w:val="00D001BE"/>
    <w:rsid w:val="00D10FC6"/>
    <w:rsid w:val="00D25D2E"/>
    <w:rsid w:val="00D26C91"/>
    <w:rsid w:val="00D3164E"/>
    <w:rsid w:val="00D44EB6"/>
    <w:rsid w:val="00D44F7B"/>
    <w:rsid w:val="00D4563C"/>
    <w:rsid w:val="00D46A1D"/>
    <w:rsid w:val="00D47713"/>
    <w:rsid w:val="00D54FE9"/>
    <w:rsid w:val="00D55E86"/>
    <w:rsid w:val="00D56BA8"/>
    <w:rsid w:val="00D57182"/>
    <w:rsid w:val="00D6093F"/>
    <w:rsid w:val="00D614CB"/>
    <w:rsid w:val="00D62B47"/>
    <w:rsid w:val="00D62D3B"/>
    <w:rsid w:val="00D64126"/>
    <w:rsid w:val="00D73342"/>
    <w:rsid w:val="00D762C9"/>
    <w:rsid w:val="00D853E5"/>
    <w:rsid w:val="00D87B96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D5E5E"/>
    <w:rsid w:val="00DE51EC"/>
    <w:rsid w:val="00DE6E66"/>
    <w:rsid w:val="00DF7E3B"/>
    <w:rsid w:val="00E00969"/>
    <w:rsid w:val="00E02EA9"/>
    <w:rsid w:val="00E03FA7"/>
    <w:rsid w:val="00E056A2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D19FA"/>
    <w:rsid w:val="00ED23A1"/>
    <w:rsid w:val="00ED65AA"/>
    <w:rsid w:val="00ED7B0B"/>
    <w:rsid w:val="00EE272A"/>
    <w:rsid w:val="00EE5F15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54A5"/>
    <w:rsid w:val="00F477B7"/>
    <w:rsid w:val="00F50CA7"/>
    <w:rsid w:val="00F55844"/>
    <w:rsid w:val="00F56AC0"/>
    <w:rsid w:val="00F671C7"/>
    <w:rsid w:val="00F71AAA"/>
    <w:rsid w:val="00F74168"/>
    <w:rsid w:val="00F766D1"/>
    <w:rsid w:val="00F77220"/>
    <w:rsid w:val="00F82639"/>
    <w:rsid w:val="00F9535F"/>
    <w:rsid w:val="00FB1C32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paragraph" w:styleId="af0">
    <w:name w:val="Document Map"/>
    <w:basedOn w:val="a"/>
    <w:link w:val="af1"/>
    <w:uiPriority w:val="99"/>
    <w:semiHidden/>
    <w:unhideWhenUsed/>
    <w:rsid w:val="003E2099"/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2099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0D8CC-D147-4F16-A654-D3D11F29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312</cp:revision>
  <cp:lastPrinted>2022-12-06T06:48:00Z</cp:lastPrinted>
  <dcterms:created xsi:type="dcterms:W3CDTF">2020-02-27T13:07:00Z</dcterms:created>
  <dcterms:modified xsi:type="dcterms:W3CDTF">2022-12-06T06:59:00Z</dcterms:modified>
</cp:coreProperties>
</file>