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77"/>
        <w:gridCol w:w="5637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>
          <w:trHeight w:val="69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415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09.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59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4214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tabs>
                <w:tab w:val="clear" w:pos="708"/>
                <w:tab w:val="left" w:pos="10772" w:leader="none"/>
              </w:tabs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left" w:pos="-142" w:leader="none"/>
                <w:tab w:val="left" w:pos="547" w:leader="none"/>
                <w:tab w:val="left" w:pos="708" w:leader="none"/>
              </w:tabs>
              <w:ind w:hanging="0" w:left="-283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Вопрос:</w:t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Об определении закупочной политики в Обществе.</w:t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4"/>
              <w:spacing w:before="20" w:after="20"/>
              <w:rPr/>
            </w:pPr>
            <w:r>
              <w:rPr>
                <w:b/>
                <w:bCs/>
                <w:sz w:val="20"/>
                <w:szCs w:val="20"/>
              </w:rPr>
              <w:t xml:space="preserve">1.1. Об утверждении изменений в Положение о закупках товаров, работ, услуг </w:t>
              <w:br/>
              <w:t>ПАО «ОГК-2».</w:t>
            </w:r>
          </w:p>
          <w:p>
            <w:pPr>
              <w:pStyle w:val="BodyText"/>
              <w:ind w:hanging="0" w:left="0" w:right="0"/>
              <w:rPr/>
            </w:pPr>
            <w:r>
              <w:rPr/>
              <w:t> </w:t>
            </w:r>
            <w:r>
              <w:rPr>
                <w:bCs/>
                <w:sz w:val="20"/>
                <w:szCs w:val="20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Утвердить изменения в Положение о закупках товаров, работ, услуг ПАО «ОГК-2» (далее – Положение), изменения в Приложение № 1 к Положению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Положения)», в соответствии с Приложением № 1.1. к решению </w:t>
            </w:r>
            <w:r>
              <w:rPr/>
              <w:t>Совета директоров</w:t>
            </w:r>
            <w:r>
              <w:rPr/>
              <w:t xml:space="preserve">. </w:t>
            </w:r>
          </w:p>
          <w:p>
            <w:pPr>
              <w:pStyle w:val="4"/>
              <w:spacing w:before="20" w:after="20"/>
              <w:rPr/>
            </w:pPr>
            <w:r>
              <w:rPr/>
              <w:t>Определить, что изменения вступают в силу с даты, следующей за датой их размещения в единой информационной системе в сфере закупок.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4"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2.Об утверждении отчета об итогах выполнения бизнес-плана ПАО «ОГК-2» за 1 квартал 2024 года.</w:t>
            </w:r>
          </w:p>
          <w:p>
            <w:pPr>
              <w:pStyle w:val="Normal"/>
              <w:ind w:hanging="0" w:left="0" w:right="0"/>
              <w:rPr/>
            </w:pPr>
            <w:r>
              <w:rPr>
                <w:bCs/>
                <w:sz w:val="20"/>
                <w:szCs w:val="20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rmal"/>
              <w:ind w:hanging="0" w:left="0" w:right="0"/>
              <w:rPr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Утвердить отчет об итогах выполнения бизнес-плана ПАО «ОГК-2» за 1 квартал 2024 года согласно Приложению № 2 к решению </w:t>
            </w:r>
            <w:r>
              <w:rPr/>
              <w:t>Совета директоров.</w:t>
            </w:r>
          </w:p>
          <w:p>
            <w:pPr>
              <w:pStyle w:val="4"/>
              <w:spacing w:before="20" w:after="20"/>
              <w:rPr/>
            </w:pPr>
            <w:r>
              <w:rPr/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>
              <w:rPr>
                <w:b/>
                <w:color w:val="000000"/>
                <w:sz w:val="20"/>
                <w:szCs w:val="20"/>
              </w:rPr>
              <w:t>.0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.2024.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 xml:space="preserve">Протокол от </w:t>
            </w:r>
            <w:r>
              <w:rPr>
                <w:b/>
                <w:sz w:val="20"/>
                <w:szCs w:val="20"/>
              </w:rPr>
              <w:t>09.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.2024 № 32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Cs w:val="22"/>
                <w:lang w:eastAsia="ko-KR"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«0</w:t>
            </w:r>
            <w:r>
              <w:rPr/>
              <w:t>9</w:t>
            </w:r>
            <w:r>
              <w:rPr/>
              <w:t>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июля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paragraph" w:styleId="3">
    <w:name w:val="Абзац 3"/>
    <w:basedOn w:val="Normal"/>
    <w:qFormat/>
    <w:pPr>
      <w:jc w:val="both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LibreOffice/7.6.4.1$Linux_X86_64 LibreOffice_project/60$Build-1</Application>
  <AppVersion>15.0000</AppVersion>
  <Pages>1</Pages>
  <Words>379</Words>
  <Characters>2549</Characters>
  <CharactersWithSpaces>2894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 Елена Викторовна</dc:creator>
  <dc:description/>
  <dc:language>ru-RU</dc:language>
  <cp:lastModifiedBy/>
  <cp:lastPrinted>2024-07-01T14:38:51Z</cp:lastPrinted>
  <dcterms:modified xsi:type="dcterms:W3CDTF">2024-07-09T09:24:34Z</dcterms:modified>
  <cp:revision>346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