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rPr>
          <w:rFonts w:eastAsia="Times New Roman"/>
          <w:b/>
          <w:sz w:val="19"/>
          <w:szCs w:val="19"/>
          <w:lang w:eastAsia="ru-RU"/>
        </w:rPr>
      </w:pPr>
      <w:r>
        <w:rPr>
          <w:rFonts w:eastAsia="Times New Roman"/>
          <w:b/>
          <w:sz w:val="19"/>
          <w:szCs w:val="19"/>
          <w:lang w:eastAsia="ru-RU"/>
        </w:rPr>
      </w:r>
    </w:p>
    <w:tbl>
      <w:tblPr>
        <w:tblpPr w:vertAnchor="text" w:horzAnchor="margin" w:leftFromText="180" w:rightFromText="180" w:tblpX="-673" w:tblpY="8"/>
        <w:tblW w:w="1074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745"/>
      </w:tblGrid>
      <w:tr>
        <w:trPr>
          <w:trHeight w:val="416" w:hRule="atLeast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9"/>
                <w:szCs w:val="19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19"/>
                <w:szCs w:val="19"/>
                <w:lang w:eastAsia="ru-RU"/>
              </w:rPr>
              <w:t>СООБЩЕНИЕ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 проведении годового Общего собрания акционеров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Публичного акционерного общества «Вторая генерирующая компания оптового рынка электроэнергии» (ПАО «ОГК-2», Общество)</w:t>
            </w:r>
          </w:p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Место нахождения Общества: Российская Федерация, г. Санкт-Петербург.</w:t>
            </w:r>
          </w:p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  <w:lang w:eastAsia="ru-RU"/>
              </w:rPr>
            </w:r>
          </w:p>
          <w:p>
            <w:pPr>
              <w:pStyle w:val="Normal"/>
              <w:spacing w:lineRule="auto" w:line="240" w:before="60" w:after="60"/>
              <w:ind w:firstLine="447"/>
              <w:jc w:val="center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9"/>
                <w:szCs w:val="19"/>
                <w:lang w:eastAsia="ru-RU"/>
              </w:rPr>
              <w:t>УВАЖАЕМЫЙ АКЦИОНЕР!</w:t>
            </w:r>
          </w:p>
          <w:p>
            <w:pPr>
              <w:pStyle w:val="Normal"/>
              <w:spacing w:lineRule="auto" w:line="240" w:before="60" w:after="60"/>
              <w:ind w:firstLine="447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  <w:lang w:eastAsia="ru-RU"/>
              </w:rPr>
              <w:t>Сове</w:t>
            </w:r>
            <w:r>
              <w:rPr>
                <w:rFonts w:ascii="Times New Roman" w:hAnsi="Times New Roman"/>
                <w:sz w:val="19"/>
                <w:szCs w:val="19"/>
              </w:rPr>
              <w:t>т директоров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ПАО «ОГК-2» уведомляет Вас о проведении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годового Общего собрания акционеров ПАО «ОГК-2»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 (далее – Собрание)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.</w:t>
            </w:r>
          </w:p>
          <w:p>
            <w:pPr>
              <w:pStyle w:val="Normal"/>
              <w:spacing w:lineRule="auto" w:line="240" w:before="60" w:after="60"/>
              <w:ind w:firstLine="447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Собрание проводится в форме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заочного голосования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spacing w:lineRule="auto" w:line="240" w:before="60" w:after="60"/>
              <w:ind w:firstLine="447" w:left="0"/>
              <w:jc w:val="both"/>
              <w:outlineLvl w:val="1"/>
              <w:rPr>
                <w:rFonts w:ascii="Times New Roman" w:hAnsi="Times New Roman" w:eastAsia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9"/>
                <w:szCs w:val="19"/>
                <w:lang w:eastAsia="ru-RU"/>
              </w:rPr>
              <w:t>Дата проведения Собрания (дата окончания приема заполненных бюллетеней для голосования):</w:t>
            </w:r>
            <w:r>
              <w:rPr>
                <w:rFonts w:eastAsia="Times New Roman" w:ascii="Times New Roman" w:hAnsi="Times New Roman"/>
                <w:b/>
                <w:color w:val="000000"/>
                <w:sz w:val="19"/>
                <w:szCs w:val="19"/>
                <w:lang w:eastAsia="ru-RU"/>
              </w:rPr>
              <w:t xml:space="preserve"> 18 июня 2024 года.</w:t>
            </w:r>
          </w:p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40" w:before="60" w:after="60"/>
              <w:ind w:firstLine="447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Дата, на которую определяются (фиксируются) лица, имеющие право на участие в Собрании: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24 мая 2024 года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center" w:pos="4153" w:leader="none"/>
                <w:tab w:val="right" w:pos="8306" w:leader="none"/>
              </w:tabs>
              <w:spacing w:lineRule="auto" w:line="240" w:before="60" w:after="60"/>
              <w:ind w:firstLine="447"/>
              <w:jc w:val="both"/>
              <w:rPr>
                <w:rFonts w:ascii="Times New Roman" w:hAnsi="Times New Roman" w:eastAsia="Times New Roman"/>
                <w:b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sz w:val="19"/>
                <w:szCs w:val="19"/>
                <w:lang w:eastAsia="ru-RU"/>
              </w:rPr>
              <w:t xml:space="preserve">Почтовый адрес, по которому должны быть направлены заполненные бюллетени для голосования: </w:t>
            </w:r>
            <w:r>
              <w:rPr>
                <w:rFonts w:eastAsia="Times New Roman" w:ascii="Times New Roman" w:hAnsi="Times New Roman"/>
                <w:b/>
                <w:sz w:val="19"/>
                <w:szCs w:val="19"/>
                <w:lang w:eastAsia="ru-RU"/>
              </w:rPr>
              <w:t>196605, г. Санкт-Петербург, вн.тер.г. поселок Шушары, ш. Петербургское, д.66, к. 1, литера А, ПАО «ОГК-2».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center" w:pos="4153" w:leader="none"/>
                <w:tab w:val="right" w:pos="8306" w:leader="none"/>
              </w:tabs>
              <w:spacing w:lineRule="auto" w:line="240" w:before="60" w:after="60"/>
              <w:ind w:firstLine="447"/>
              <w:jc w:val="both"/>
              <w:rPr>
                <w:rFonts w:ascii="Times New Roman" w:hAnsi="Times New Roman" w:eastAsia="Times New Roman"/>
                <w:b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9"/>
                <w:szCs w:val="19"/>
                <w:lang w:eastAsia="ru-RU"/>
              </w:rPr>
              <w:t>Принявшими участие в Собрании, проводимом в форме заочного голосования, считаются акционеры, бюллетени которых получены или электронная форма бюллетеней которых заполнена на указанном ниже сайте в сети Интернет до даты окончания приема бюллетеней, т.е. не позднее 17 июня 2024 года.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center" w:pos="4153" w:leader="none"/>
                <w:tab w:val="right" w:pos="8306" w:leader="none"/>
              </w:tabs>
              <w:spacing w:lineRule="auto" w:line="240" w:before="60" w:after="60"/>
              <w:ind w:firstLine="447"/>
              <w:jc w:val="both"/>
              <w:rPr>
                <w:rFonts w:ascii="Times New Roman" w:hAnsi="Times New Roman" w:eastAsia="Times New Roman"/>
                <w:b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9"/>
                <w:szCs w:val="19"/>
                <w:lang w:eastAsia="ru-RU"/>
              </w:rPr>
              <w:t>Принявшими участие в Собрании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бюллетеней, т.е. не позднее 17 июня 2024 года.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center" w:pos="4153" w:leader="none"/>
                <w:tab w:val="right" w:pos="8306" w:leader="none"/>
              </w:tabs>
              <w:spacing w:lineRule="auto" w:line="240" w:before="60" w:after="60"/>
              <w:ind w:firstLine="447"/>
              <w:jc w:val="both"/>
              <w:rPr>
                <w:rFonts w:ascii="Times New Roman" w:hAnsi="Times New Roman" w:eastAsia="Times New Roman"/>
                <w:b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9"/>
                <w:szCs w:val="19"/>
                <w:lang w:eastAsia="ru-RU"/>
              </w:rPr>
              <w:t>При определении кворума Собрания и подведении итогов голосования будут учитываться голоса, представленные бюллетенями для голосования и сообщениями о волеизъявлении, полученными не позднее 17 июня 2024 года.</w:t>
            </w:r>
          </w:p>
          <w:p>
            <w:pPr>
              <w:pStyle w:val="ListParagraph"/>
              <w:tabs>
                <w:tab w:val="clear" w:pos="708"/>
                <w:tab w:val="left" w:pos="851" w:leader="none"/>
              </w:tabs>
              <w:spacing w:lineRule="auto" w:line="240" w:before="0" w:after="0"/>
              <w:ind w:firstLine="425" w:left="0"/>
              <w:contextualSpacing w:val="false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Электронная форма бюллетеней может быть заполнена на сайте регистратора </w:t>
            </w:r>
            <w:hyperlink r:id="rId2">
              <w:r>
                <w:rPr>
                  <w:rStyle w:val="Hyperlink"/>
                  <w:rFonts w:eastAsia="Times New Roman" w:ascii="Times New Roman" w:hAnsi="Times New Roman"/>
                  <w:spacing w:val="-2"/>
                  <w:sz w:val="19"/>
                  <w:szCs w:val="19"/>
                  <w:lang w:eastAsia="ru-RU"/>
                </w:rPr>
                <w:t>www.draga.ru</w:t>
              </w:r>
            </w:hyperlink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в информационно-телекоммуникационной сети Интернет в разделе Акционерам =&gt; Услуги =&gt; Участие в собрании акционеров =&gt; Заполнить электронную форму бюллетеня =&gt; Сервис «Личный кабинет акционера» (ПАО «ОГК-2»)  или по ссылке: </w:t>
            </w:r>
            <w:hyperlink r:id="rId3">
              <w:r>
                <w:rPr>
                  <w:rStyle w:val="Hyperlink"/>
                  <w:rFonts w:eastAsia="Times New Roman" w:ascii="Times New Roman" w:hAnsi="Times New Roman"/>
                  <w:spacing w:val="-2"/>
                  <w:sz w:val="19"/>
                  <w:szCs w:val="19"/>
                  <w:lang w:eastAsia="ru-RU"/>
                </w:rPr>
                <w:t>https://draga.ru/akcioneram/uslugi/uchastie-v-sobranii-akcionerov/golosovanie/pao-ogk-2/</w:t>
              </w:r>
            </w:hyperlink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 (для участия в электронном голосовании акционер ПАО «ОГК-2» должен получить доступ к сервису «Личный кабинет акционера». С порядком получения доступа можно ознакомиться на странице </w:t>
            </w:r>
            <w:hyperlink r:id="rId4">
              <w:r>
                <w:rPr>
                  <w:rStyle w:val="Hyperlink"/>
                  <w:rFonts w:eastAsia="Times New Roman" w:ascii="Times New Roman" w:hAnsi="Times New Roman"/>
                  <w:sz w:val="19"/>
                  <w:szCs w:val="19"/>
                  <w:lang w:eastAsia="ru-RU"/>
                </w:rPr>
                <w:t>https://draga.ru/akcioneram/jelektronnye-servisy/lichnyj-kabinet-akcionera/</w:t>
              </w:r>
            </w:hyperlink>
            <w:r>
              <w:rPr>
                <w:rStyle w:val="Hyperlink"/>
                <w:rFonts w:eastAsia="Times New Roman" w:ascii="Times New Roman" w:hAnsi="Times New Roman"/>
                <w:color w:val="auto"/>
                <w:sz w:val="19"/>
                <w:szCs w:val="19"/>
                <w:u w:val="none"/>
                <w:lang w:eastAsia="ru-RU"/>
              </w:rPr>
              <w:t>)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  <w:p>
            <w:pPr>
              <w:pStyle w:val="Default"/>
              <w:ind w:firstLine="42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Право голоса по всем вопросам повестки дня Собрания имеют акционеры - владельцы обыкновенных акций Общества.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hanging="0" w:left="0"/>
              <w:jc w:val="center"/>
              <w:outlineLvl w:val="1"/>
              <w:rPr>
                <w:rFonts w:ascii="Times New Roman" w:hAnsi="Times New Roman" w:eastAsia="Times New Roman"/>
                <w:b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9"/>
                <w:szCs w:val="19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hanging="0" w:left="0"/>
              <w:jc w:val="center"/>
              <w:outlineLvl w:val="1"/>
              <w:rPr>
                <w:rFonts w:ascii="Times New Roman" w:hAnsi="Times New Roman" w:eastAsia="Times New Roman"/>
                <w:b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9"/>
                <w:szCs w:val="19"/>
                <w:lang w:eastAsia="ru-RU"/>
              </w:rPr>
              <w:t>ПОВЕСТКА ДНЯ СОБРАНИЯ: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9"/>
                <w:szCs w:val="19"/>
                <w:lang w:eastAsia="ru-RU"/>
              </w:rPr>
              <w:t>Об утверждении годового отчета Общества, годовой бухгалтерской (финансовой) отчетности Общества за 2023 год.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9"/>
                <w:szCs w:val="19"/>
                <w:lang w:eastAsia="ru-RU"/>
              </w:rPr>
              <w:t>О распределении прибыли (в том числе выплата (объявление) дивидендов) и убытков Общества по результатам 2023 года.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9"/>
                <w:szCs w:val="19"/>
                <w:lang w:eastAsia="ru-RU"/>
              </w:rPr>
              <w:t>Об избрании членов Совета директоров Общества.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9"/>
                <w:szCs w:val="19"/>
                <w:lang w:eastAsia="ru-RU"/>
              </w:rPr>
              <w:t>Об утверждении Устава Общества в новой редакции.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9"/>
                <w:szCs w:val="19"/>
                <w:lang w:eastAsia="ru-RU"/>
              </w:rPr>
              <w:t>О назначении аудиторской организации Общества.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eastAsia="SimSun"/>
                <w:w w:val="100"/>
                <w:sz w:val="19"/>
                <w:szCs w:val="19"/>
              </w:rPr>
            </w:pPr>
            <w:r>
              <w:rPr>
                <w:rFonts w:eastAsia="Times New Roman" w:ascii="Times New Roman" w:hAnsi="Times New Roman"/>
                <w:color w:val="000000"/>
                <w:sz w:val="19"/>
                <w:szCs w:val="19"/>
                <w:lang w:eastAsia="ru-RU"/>
              </w:rPr>
              <w:t>О выплате членам Совета директоров Общества вознаграждений и компенсаций.</w:t>
            </w:r>
          </w:p>
          <w:p>
            <w:pPr>
              <w:pStyle w:val="Normal"/>
              <w:spacing w:lineRule="auto" w:line="240" w:before="0" w:after="0"/>
              <w:ind w:left="313"/>
              <w:jc w:val="both"/>
              <w:rPr>
                <w:rFonts w:ascii="Times New Roman" w:hAnsi="Times New Roman" w:eastAsia="SimSun"/>
                <w:w w:val="100"/>
                <w:sz w:val="19"/>
                <w:szCs w:val="19"/>
              </w:rPr>
            </w:pPr>
            <w:r>
              <w:rPr>
                <w:rFonts w:eastAsia="SimSun" w:ascii="Times New Roman" w:hAnsi="Times New Roman"/>
                <w:w w:val="100"/>
                <w:sz w:val="19"/>
                <w:szCs w:val="19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426" w:leader="none"/>
              </w:tabs>
              <w:spacing w:lineRule="auto" w:line="240" w:before="0" w:after="0"/>
              <w:ind w:firstLine="44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 информацией (материалами), предоставляемой лицам, имеющим право на участие в Собрании, при подготовке к проведению Собрания, информацией о наличии письменного согласия выдвину</w:t>
            </w:r>
            <w:bookmarkStart w:id="0" w:name="_GoBack"/>
            <w:bookmarkEnd w:id="0"/>
            <w:r>
              <w:rPr>
                <w:rFonts w:ascii="Times New Roman" w:hAnsi="Times New Roman"/>
                <w:sz w:val="19"/>
                <w:szCs w:val="19"/>
              </w:rPr>
              <w:t>тых кандидатов на избрание в соответствующий орган Общества можно ознакомиться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в течение 20 дней до проведения Собрания по месту нахождения Генерального директора по адресу: 199106, г. Санкт-Петербург, вн. тер. г. муниципальный округ Гавань, ул. Шкиперский проток, д. 12, к. 2, стр. 1, этаж 7, помещ. 2273 и по адресу: г. Санкт-Петербург, вн.тер.г. поселок Шушары, ш. Петербургское, д.66, к. 1, литера А, ПАО «ОГК-2». Телефон для информации: (812) 646-13-64.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426" w:leader="none"/>
              </w:tabs>
              <w:spacing w:lineRule="auto" w:line="240" w:before="0" w:after="0"/>
              <w:ind w:firstLine="426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случае,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 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в сроки, установленные законодательством Российской Федерации.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426" w:leader="none"/>
              </w:tabs>
              <w:spacing w:lineRule="auto" w:line="240" w:before="0" w:after="0"/>
              <w:ind w:firstLine="426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Представители лиц, имеющих право на участие в Собрании, могут действовать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 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пунктов 3 и 4 статьи 185.1 Гражданского кодекса Российской Федерации или удостоверена нотариально.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426" w:leader="none"/>
              </w:tabs>
              <w:spacing w:lineRule="auto" w:line="240" w:before="0" w:after="0"/>
              <w:ind w:firstLine="426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Документы, удостоверяющие полномочия правопреемников и представителей лиц, имеющих право на участие в Собрании, (их копии, засвидетельствованные в установленном порядке) должны прилагаться к направляемым этими лицами бюллетеням для голосования.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9"/>
                <w:szCs w:val="19"/>
                <w:lang w:eastAsia="ru-RU"/>
              </w:rPr>
              <w:t>Совет директоров ПАО «ОГК-2»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pacing w:val="-2"/>
                <w:sz w:val="19"/>
                <w:szCs w:val="19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pacing w:val="-2"/>
                <w:sz w:val="19"/>
                <w:szCs w:val="19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19"/>
          <w:szCs w:val="19"/>
          <w:lang w:eastAsia="ru-RU"/>
        </w:rPr>
      </w:pPr>
      <w:r>
        <w:rPr>
          <w:rFonts w:eastAsia="Times New Roman" w:ascii="Times New Roman" w:hAnsi="Times New Roman"/>
          <w:b/>
          <w:bCs/>
          <w:sz w:val="19"/>
          <w:szCs w:val="19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19"/>
          <w:szCs w:val="19"/>
          <w:lang w:eastAsia="ru-RU"/>
        </w:rPr>
      </w:pPr>
      <w:r>
        <w:rPr>
          <w:rFonts w:eastAsia="Times New Roman" w:ascii="Times New Roman" w:hAnsi="Times New Roman"/>
          <w:b/>
          <w:bCs/>
          <w:sz w:val="19"/>
          <w:szCs w:val="19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19"/>
          <w:szCs w:val="19"/>
          <w:lang w:eastAsia="ru-RU"/>
        </w:rPr>
      </w:pPr>
      <w:r>
        <w:rPr>
          <w:rFonts w:eastAsia="Times New Roman" w:ascii="Times New Roman" w:hAnsi="Times New Roman"/>
          <w:b/>
          <w:bCs/>
          <w:sz w:val="19"/>
          <w:szCs w:val="19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19"/>
          <w:szCs w:val="19"/>
          <w:lang w:eastAsia="ru-RU"/>
        </w:rPr>
      </w:pPr>
      <w:r>
        <w:rPr>
          <w:rFonts w:eastAsia="Times New Roman" w:ascii="Times New Roman" w:hAnsi="Times New Roman"/>
          <w:b/>
          <w:bCs/>
          <w:sz w:val="19"/>
          <w:szCs w:val="19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19"/>
          <w:szCs w:val="19"/>
          <w:lang w:eastAsia="ru-RU"/>
        </w:rPr>
      </w:pPr>
      <w:r>
        <w:rPr>
          <w:rFonts w:eastAsia="Times New Roman" w:ascii="Times New Roman" w:hAnsi="Times New Roman"/>
          <w:b/>
          <w:bCs/>
          <w:sz w:val="19"/>
          <w:szCs w:val="19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19"/>
          <w:szCs w:val="19"/>
          <w:lang w:eastAsia="ru-RU"/>
        </w:rPr>
      </w:pPr>
      <w:r>
        <w:rPr>
          <w:rFonts w:eastAsia="Times New Roman" w:ascii="Times New Roman" w:hAnsi="Times New Roman"/>
          <w:b/>
          <w:bCs/>
          <w:sz w:val="19"/>
          <w:szCs w:val="19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19"/>
          <w:szCs w:val="19"/>
          <w:lang w:eastAsia="ru-RU"/>
        </w:rPr>
      </w:pPr>
      <w:r>
        <w:rPr>
          <w:rFonts w:eastAsia="Times New Roman" w:ascii="Times New Roman" w:hAnsi="Times New Roman"/>
          <w:b/>
          <w:bCs/>
          <w:sz w:val="19"/>
          <w:szCs w:val="19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19"/>
          <w:szCs w:val="19"/>
          <w:lang w:eastAsia="ru-RU"/>
        </w:rPr>
      </w:pPr>
      <w:r>
        <w:rPr>
          <w:rFonts w:eastAsia="Times New Roman" w:ascii="Times New Roman" w:hAnsi="Times New Roman"/>
          <w:b/>
          <w:bCs/>
          <w:sz w:val="19"/>
          <w:szCs w:val="19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0"/>
          <w:szCs w:val="19"/>
          <w:lang w:eastAsia="ru-RU"/>
        </w:rPr>
      </w:pPr>
      <w:r>
        <w:rPr>
          <w:rFonts w:eastAsia="Times New Roman" w:ascii="Times New Roman" w:hAnsi="Times New Roman"/>
          <w:b/>
          <w:bCs/>
          <w:sz w:val="20"/>
          <w:szCs w:val="19"/>
          <w:lang w:eastAsia="ru-RU"/>
        </w:rPr>
        <w:t>Уважаемый акционер!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Cs/>
          <w:sz w:val="20"/>
          <w:szCs w:val="19"/>
          <w:lang w:eastAsia="ru-RU"/>
        </w:rPr>
      </w:pPr>
      <w:r>
        <w:rPr>
          <w:rFonts w:eastAsia="Times New Roman" w:ascii="Times New Roman" w:hAnsi="Times New Roman"/>
          <w:b/>
          <w:bCs/>
          <w:sz w:val="20"/>
          <w:szCs w:val="19"/>
          <w:lang w:eastAsia="ru-RU"/>
        </w:rPr>
      </w:r>
    </w:p>
    <w:p>
      <w:pPr>
        <w:pStyle w:val="Normal"/>
        <w:spacing w:lineRule="auto" w:line="240" w:before="120" w:after="0"/>
        <w:ind w:firstLine="567"/>
        <w:jc w:val="both"/>
        <w:rPr>
          <w:rFonts w:ascii="Times New Roman" w:hAnsi="Times New Roman" w:eastAsia="Times New Roman"/>
          <w:b/>
          <w:sz w:val="20"/>
          <w:szCs w:val="19"/>
          <w:lang w:eastAsia="ru-RU"/>
        </w:rPr>
      </w:pPr>
      <w:r>
        <w:rPr>
          <w:rFonts w:eastAsia="Times New Roman" w:ascii="Times New Roman" w:hAnsi="Times New Roman"/>
          <w:b/>
          <w:sz w:val="20"/>
          <w:szCs w:val="19"/>
          <w:lang w:eastAsia="ru-RU"/>
        </w:rPr>
        <w:t>Начиная с 01.09.2023 года</w:t>
      </w: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 лицам, имеющим право на участие в Общем собрании акционеров и зарегистрированным в реестре (учитывающим права у регистратора АО «ДРАГА») бюллетени для голосования на Общих собраниях акционеров направляются </w:t>
      </w:r>
      <w:r>
        <w:rPr>
          <w:rFonts w:eastAsia="Times New Roman" w:ascii="Times New Roman" w:hAnsi="Times New Roman"/>
          <w:b/>
          <w:sz w:val="20"/>
          <w:szCs w:val="19"/>
          <w:lang w:eastAsia="ru-RU"/>
        </w:rPr>
        <w:t xml:space="preserve">только посредством электронной почты (бумажные бюллетени не направляются). </w:t>
      </w:r>
    </w:p>
    <w:p>
      <w:pPr>
        <w:pStyle w:val="Normal"/>
        <w:spacing w:lineRule="auto" w:line="240" w:before="120" w:after="0"/>
        <w:ind w:firstLine="567"/>
        <w:jc w:val="both"/>
        <w:rPr>
          <w:rFonts w:ascii="Times New Roman" w:hAnsi="Times New Roman" w:eastAsia="Times New Roman"/>
          <w:sz w:val="20"/>
          <w:szCs w:val="19"/>
          <w:lang w:eastAsia="ru-RU"/>
        </w:rPr>
      </w:pPr>
      <w:r>
        <w:rPr>
          <w:rFonts w:eastAsia="Times New Roman" w:ascii="Times New Roman" w:hAnsi="Times New Roman"/>
          <w:b/>
          <w:sz w:val="20"/>
          <w:szCs w:val="19"/>
          <w:lang w:eastAsia="ru-RU"/>
        </w:rPr>
        <w:t>Направление бюллетеней осуществляется на адреса электронной почты, указанные в анкетах зарегистрированного лица</w:t>
      </w: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. </w:t>
      </w:r>
    </w:p>
    <w:p>
      <w:pPr>
        <w:pStyle w:val="Normal"/>
        <w:spacing w:lineRule="auto" w:line="240" w:before="120" w:after="0"/>
        <w:ind w:firstLine="567"/>
        <w:jc w:val="both"/>
        <w:rPr>
          <w:rFonts w:ascii="Times New Roman" w:hAnsi="Times New Roman" w:eastAsia="Times New Roman"/>
          <w:sz w:val="20"/>
          <w:szCs w:val="19"/>
          <w:lang w:eastAsia="ru-RU"/>
        </w:rPr>
      </w:pP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Для обеспечения возможности получения бюллетеня по электронной почте </w:t>
      </w:r>
      <w:r>
        <w:rPr>
          <w:rFonts w:eastAsia="Times New Roman" w:ascii="Times New Roman" w:hAnsi="Times New Roman"/>
          <w:b/>
          <w:sz w:val="20"/>
          <w:szCs w:val="19"/>
          <w:lang w:eastAsia="ru-RU"/>
        </w:rPr>
        <w:t>акционеру необходимо внести адреса своей электронной почты в реестр акционеров Общества.</w:t>
      </w: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 Для этого Вам необходимо обратиться к регистратору АО «ДРАГА». Подробная информация о представляемых регистратору документах, порядке их подачи и пунктах приема акционеров размещена на сайте регистратора </w:t>
      </w:r>
      <w:r>
        <w:rPr>
          <w:rFonts w:eastAsia="Times New Roman" w:ascii="Times New Roman" w:hAnsi="Times New Roman"/>
          <w:color w:val="0000FF"/>
          <w:sz w:val="20"/>
          <w:szCs w:val="19"/>
          <w:u w:val="single"/>
          <w:lang w:eastAsia="ru-RU"/>
        </w:rPr>
        <w:t>www.</w:t>
      </w:r>
      <w:hyperlink r:id="rId5">
        <w:r>
          <w:rPr>
            <w:rFonts w:eastAsia="Times New Roman" w:ascii="Times New Roman" w:hAnsi="Times New Roman"/>
            <w:color w:val="0000FF"/>
            <w:sz w:val="20"/>
            <w:szCs w:val="19"/>
            <w:u w:val="single"/>
            <w:lang w:eastAsia="ru-RU"/>
          </w:rPr>
          <w:t>draga.ru</w:t>
        </w:r>
      </w:hyperlink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. </w:t>
      </w:r>
    </w:p>
    <w:p>
      <w:pPr>
        <w:pStyle w:val="Normal"/>
        <w:spacing w:lineRule="auto" w:line="240" w:before="120" w:after="0"/>
        <w:ind w:firstLine="567"/>
        <w:jc w:val="both"/>
        <w:rPr>
          <w:rFonts w:ascii="Times New Roman" w:hAnsi="Times New Roman" w:eastAsia="Times New Roman"/>
          <w:sz w:val="20"/>
          <w:szCs w:val="19"/>
          <w:lang w:eastAsia="ru-RU"/>
        </w:rPr>
      </w:pP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Консультацию по вопросам заполнения необходимых документов можно получить по телефону                               8-800-302-07-73 (звонок бесплатный), а также на указанном выше сайте регистратора. </w:t>
      </w:r>
    </w:p>
    <w:p>
      <w:pPr>
        <w:pStyle w:val="Normal"/>
        <w:spacing w:lineRule="auto" w:line="240" w:before="120" w:after="0"/>
        <w:ind w:firstLine="567"/>
        <w:jc w:val="both"/>
        <w:rPr>
          <w:rFonts w:ascii="Times New Roman" w:hAnsi="Times New Roman" w:eastAsia="Times New Roman"/>
          <w:sz w:val="20"/>
          <w:szCs w:val="19"/>
          <w:lang w:eastAsia="ru-RU"/>
        </w:rPr>
      </w:pP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В рамках действующей программы по актуализации данных, акционеры могут </w:t>
      </w:r>
      <w:r>
        <w:rPr>
          <w:rFonts w:eastAsia="Times New Roman" w:ascii="Times New Roman" w:hAnsi="Times New Roman"/>
          <w:b/>
          <w:sz w:val="20"/>
          <w:szCs w:val="19"/>
          <w:lang w:eastAsia="ru-RU"/>
        </w:rPr>
        <w:t>БЕСПЛАТНО</w:t>
      </w: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0"/>
          <w:szCs w:val="19"/>
          <w:lang w:eastAsia="ru-RU"/>
        </w:rPr>
        <w:t>осуществить обновление своих анкетных данных</w:t>
      </w: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, в том числе внести данные адреса электронной почты. </w:t>
      </w:r>
    </w:p>
    <w:p>
      <w:pPr>
        <w:pStyle w:val="Normal"/>
        <w:spacing w:lineRule="auto" w:line="240" w:before="120" w:after="0"/>
        <w:ind w:firstLine="567"/>
        <w:jc w:val="both"/>
        <w:rPr>
          <w:rFonts w:ascii="Times New Roman" w:hAnsi="Times New Roman" w:eastAsia="Times New Roman"/>
          <w:sz w:val="20"/>
          <w:szCs w:val="19"/>
          <w:lang w:eastAsia="ru-RU"/>
        </w:rPr>
      </w:pP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Акционеры, не предоставившие сведения об адресах электронной почты регистратору, вправе реализовать право голоса на Общих собраниях акционеров иными способами, предусмотренными законодательством, в том числе </w:t>
      </w:r>
      <w:r>
        <w:rPr>
          <w:rFonts w:eastAsia="Times New Roman" w:ascii="Times New Roman" w:hAnsi="Times New Roman"/>
          <w:b/>
          <w:sz w:val="20"/>
          <w:szCs w:val="19"/>
          <w:lang w:eastAsia="ru-RU"/>
        </w:rPr>
        <w:t xml:space="preserve">путем заполнения электронной формы бюллетеня на сайте регистратора </w:t>
      </w:r>
      <w:hyperlink r:id="rId6">
        <w:r>
          <w:rPr>
            <w:rFonts w:eastAsia="Times New Roman" w:ascii="Times New Roman" w:hAnsi="Times New Roman"/>
            <w:b/>
            <w:color w:val="0000FF"/>
            <w:sz w:val="20"/>
            <w:szCs w:val="19"/>
            <w:u w:val="single"/>
            <w:lang w:eastAsia="ru-RU"/>
          </w:rPr>
          <w:t>www.lk.draga.ru</w:t>
        </w:r>
      </w:hyperlink>
      <w:r>
        <w:rPr>
          <w:rFonts w:eastAsia="Times New Roman" w:ascii="Times New Roman" w:hAnsi="Times New Roman"/>
          <w:b/>
          <w:sz w:val="20"/>
          <w:szCs w:val="19"/>
          <w:lang w:eastAsia="ru-RU"/>
        </w:rPr>
        <w:t xml:space="preserve"> посредством сервиса «Личный кабинет акционера»</w:t>
      </w: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. </w:t>
      </w:r>
    </w:p>
    <w:p>
      <w:pPr>
        <w:pStyle w:val="Normal"/>
        <w:spacing w:lineRule="auto" w:line="240" w:before="120" w:after="0"/>
        <w:ind w:firstLine="567"/>
        <w:jc w:val="both"/>
        <w:rPr>
          <w:rFonts w:ascii="Times New Roman" w:hAnsi="Times New Roman" w:eastAsia="Times New Roman"/>
          <w:b/>
          <w:sz w:val="20"/>
          <w:szCs w:val="19"/>
          <w:lang w:eastAsia="ru-RU"/>
        </w:rPr>
      </w:pPr>
      <w:r>
        <w:rPr>
          <w:rFonts w:eastAsia="Times New Roman" w:ascii="Times New Roman" w:hAnsi="Times New Roman"/>
          <w:b/>
          <w:sz w:val="20"/>
          <w:szCs w:val="19"/>
          <w:lang w:eastAsia="ru-RU"/>
        </w:rPr>
        <w:t xml:space="preserve">Также обращаем внимание, что в соответствии в соответствии с Правилами ведения реестра владельцев ценных бумаг АО «ДРАГА», ПРЕДУСМОТРЕНА ОБЯЗАННОСТЬ АКЦИОНЕРОВ своевременно информировать регистратора об изменении своих данных. </w:t>
      </w:r>
    </w:p>
    <w:p>
      <w:pPr>
        <w:pStyle w:val="Normal"/>
        <w:spacing w:lineRule="auto" w:line="240" w:before="120" w:after="0"/>
        <w:ind w:firstLine="567"/>
        <w:jc w:val="both"/>
        <w:rPr>
          <w:rFonts w:ascii="Times New Roman" w:hAnsi="Times New Roman" w:eastAsia="Times New Roman"/>
          <w:sz w:val="20"/>
          <w:szCs w:val="19"/>
          <w:lang w:eastAsia="ru-RU"/>
        </w:rPr>
      </w:pPr>
      <w:r>
        <w:rPr>
          <w:rFonts w:eastAsia="Times New Roman" w:ascii="Times New Roman" w:hAnsi="Times New Roman"/>
          <w:sz w:val="20"/>
          <w:szCs w:val="19"/>
          <w:lang w:eastAsia="ru-RU"/>
        </w:rPr>
        <w:t>Если акционером не исполняется обязанность по актуализации данных, то в его адрес могут не поступить информационные сообщения, связанные с корпоративными мероприятиями Общества. Кроме того, могут возникнуть затруднения по получению причитающихся дивидендов, а также в проведении любой из операций с ценными бумагами, таких, как оформление сделки купли-продажи, получение выписок со счета, оформление наследства, дарения и т.п.</w:t>
      </w:r>
    </w:p>
    <w:p>
      <w:pPr>
        <w:pStyle w:val="Normal"/>
        <w:spacing w:lineRule="auto" w:line="240" w:before="120" w:after="0"/>
        <w:ind w:firstLine="567"/>
        <w:jc w:val="both"/>
        <w:rPr>
          <w:rFonts w:ascii="Times New Roman" w:hAnsi="Times New Roman" w:eastAsia="Times New Roman"/>
          <w:sz w:val="20"/>
          <w:szCs w:val="19"/>
          <w:lang w:eastAsia="ru-RU"/>
        </w:rPr>
      </w:pP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Для сверки/обновления своих персональных данных Вам необходимо обратиться к регистратору (АО «ДРАГА», контакты указаны выше). </w:t>
      </w:r>
    </w:p>
    <w:p>
      <w:pPr>
        <w:pStyle w:val="Normal"/>
        <w:spacing w:lineRule="auto" w:line="240" w:before="120" w:after="0"/>
        <w:ind w:firstLine="567"/>
        <w:jc w:val="both"/>
        <w:rPr>
          <w:rFonts w:ascii="Times New Roman" w:hAnsi="Times New Roman" w:eastAsia="Times New Roman"/>
          <w:b/>
          <w:sz w:val="20"/>
          <w:szCs w:val="19"/>
          <w:lang w:eastAsia="ru-RU"/>
        </w:rPr>
      </w:pPr>
      <w:r>
        <w:rPr>
          <w:rFonts w:eastAsia="Times New Roman" w:ascii="Times New Roman" w:hAnsi="Times New Roman"/>
          <w:sz w:val="20"/>
          <w:szCs w:val="19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0"/>
          <w:szCs w:val="19"/>
          <w:lang w:eastAsia="ru-RU"/>
        </w:rPr>
        <w:t>В соответствии с п. 16 ст. 8.2. Федерального закона от 22.04.1996 № 39-ФЗ «О рынке ценных бумаг» в случае непредставления акционером информации об изменении своих данных, ПАО «ОГК-2» и регистратор не несут ответственности за причиненные акционеру в связи с этим убытки.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eastAsia="Times New Roman" w:ascii="Times New Roman" w:hAnsi="Times New Roman"/>
          <w:bCs/>
          <w:sz w:val="20"/>
          <w:szCs w:val="20"/>
          <w:lang w:eastAsia="ru-RU"/>
        </w:rPr>
      </w:r>
    </w:p>
    <w:sectPr>
      <w:type w:val="nextPage"/>
      <w:pgSz w:w="11906" w:h="16838"/>
      <w:pgMar w:left="1418" w:right="99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9"/>
        <w:szCs w:val="19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44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qFormat/>
    <w:rsid w:val="00d46f33"/>
    <w:pPr>
      <w:keepNext w:val="true"/>
      <w:spacing w:lineRule="auto" w:line="240" w:before="0" w:after="0"/>
      <w:ind w:firstLine="567"/>
      <w:jc w:val="center"/>
      <w:outlineLvl w:val="1"/>
    </w:pPr>
    <w:rPr>
      <w:rFonts w:ascii="Times New Roman" w:hAnsi="Times New Roman" w:eastAsia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0443c"/>
    <w:rPr>
      <w:rFonts w:ascii="Tahoma" w:hAnsi="Tahoma" w:eastAsia="Calibri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8cb"/>
    <w:rPr>
      <w:color w:themeColor="hyperlink" w:val="0000FF"/>
      <w:u w:val="single"/>
    </w:rPr>
  </w:style>
  <w:style w:type="character" w:styleId="2" w:customStyle="1">
    <w:name w:val="Заголовок 2 Знак"/>
    <w:basedOn w:val="DefaultParagraphFont"/>
    <w:qFormat/>
    <w:rsid w:val="00d46f3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4" w:customStyle="1">
    <w:name w:val="Нижний колонтитул Знак"/>
    <w:basedOn w:val="DefaultParagraphFont"/>
    <w:qFormat/>
    <w:rsid w:val="00d46f3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Заголовок Знак"/>
    <w:basedOn w:val="DefaultParagraphFont"/>
    <w:qFormat/>
    <w:rsid w:val="00d46f33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Style16" w:customStyle="1">
    <w:name w:val="Основной текст Знак"/>
    <w:basedOn w:val="DefaultParagraphFont"/>
    <w:qFormat/>
    <w:rsid w:val="00d46f3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1916bd"/>
    <w:rPr>
      <w:color w:themeColor="followedHyperlink" w:val="800080"/>
      <w:u w:val="single"/>
    </w:rPr>
  </w:style>
  <w:style w:type="character" w:styleId="Annotationreference">
    <w:name w:val="annotation reference"/>
    <w:basedOn w:val="DefaultParagraphFont"/>
    <w:qFormat/>
    <w:rsid w:val="007b7c53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qFormat/>
    <w:rsid w:val="007b7c53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6"/>
    <w:rsid w:val="00d46f33"/>
    <w:pPr>
      <w:spacing w:lineRule="auto" w:line="240" w:before="0" w:after="0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d7d50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044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d46f3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d46f33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ConsNonformat" w:customStyle="1">
    <w:name w:val="ConsNonformat"/>
    <w:qFormat/>
    <w:rsid w:val="00d46f33"/>
    <w:pPr>
      <w:widowControl/>
      <w:suppressAutoHyphens w:val="true"/>
      <w:bidi w:val="0"/>
      <w:spacing w:lineRule="auto" w:line="240" w:before="0" w:after="0"/>
      <w:jc w:val="left"/>
    </w:pPr>
    <w:rPr>
      <w:rFonts w:ascii="Consultant" w:hAnsi="Consultan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link w:val="Style15"/>
    <w:qFormat/>
    <w:rsid w:val="00d46f33"/>
    <w:pPr>
      <w:spacing w:lineRule="auto" w:line="240" w:before="0" w:after="0"/>
      <w:ind w:firstLine="2268"/>
      <w:jc w:val="center"/>
    </w:pPr>
    <w:rPr>
      <w:rFonts w:ascii="Times New Roman" w:hAnsi="Times New Roman" w:eastAsia="Times New Roman"/>
      <w:b/>
      <w:sz w:val="44"/>
      <w:szCs w:val="20"/>
      <w:lang w:eastAsia="ru-RU"/>
    </w:rPr>
  </w:style>
  <w:style w:type="paragraph" w:styleId="Default" w:customStyle="1">
    <w:name w:val="Default"/>
    <w:qFormat/>
    <w:rsid w:val="00d46f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b542c5"/>
    <w:pPr>
      <w:spacing w:lineRule="auto" w:line="240" w:before="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Style17"/>
    <w:qFormat/>
    <w:rsid w:val="007b7c53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664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raga.ru/" TargetMode="External"/><Relationship Id="rId3" Type="http://schemas.openxmlformats.org/officeDocument/2006/relationships/hyperlink" Target="https://draga.ru/akcioneram/uslugi/uchastie-v-sobranii-akcionerov/golosovanie/pao-ogk-2/" TargetMode="External"/><Relationship Id="rId4" Type="http://schemas.openxmlformats.org/officeDocument/2006/relationships/hyperlink" Target="https://draga.ru/akcioneram/jelektronnye-servisy/lichnyj-kabinet-akcionera/" TargetMode="External"/><Relationship Id="rId5" Type="http://schemas.openxmlformats.org/officeDocument/2006/relationships/hyperlink" Target="http://www.draga.ru/" TargetMode="External"/><Relationship Id="rId6" Type="http://schemas.openxmlformats.org/officeDocument/2006/relationships/hyperlink" Target="http://www.lk.draga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309B-AB09-4A90-BDB9-73980295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LibreOffice/7.6.4.1$Linux_X86_64 LibreOffice_project/60$Build-1</Application>
  <AppVersion>15.0000</AppVersion>
  <Pages>2</Pages>
  <Words>965</Words>
  <Characters>6742</Characters>
  <CharactersWithSpaces>7711</CharactersWithSpaces>
  <Paragraphs>38</Paragraphs>
  <Company>ОГК-2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2023-05-04T13:21:00Z</dcterms:created>
  <dc:creator>Машин Дмитрий Александрович</dc:creator>
  <dc:description/>
  <dc:language>ru-RU</dc:language>
  <cp:lastModifiedBy/>
  <cp:lastPrinted>2021-04-29T12:38:00Z</cp:lastPrinted>
  <dcterms:modified xsi:type="dcterms:W3CDTF">2024-05-27T14:46:45Z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