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2.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5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5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3.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05.2024.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 рассмотрении вопросов, связанных с подготовкой и проведением годового Общего собрания акционеров Общества.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2. О рекомендациях Общему собранию акционеров Общества по вопросам повестки дня годового Общего собрания акционеров Общества.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3. О рассмотрении результатов оценки системы управления рисками и внутреннего контроля Общества.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4. Об утверждении порогового и предельно допустимого  уровня риска ПАО «ОГК-2» на 2024 год.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5. Об определении закупочной политики в Обществе.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>
              <w:rPr>
                <w:b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1-02-65105-D от 19.04.2007,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zh-CN" w:bidi="ar-SA"/>
              </w:rPr>
              <w:t>международный код (номер) идентификации ценных бумаг (ISIN): RU000A0JNG55, международный код классификации финансовых инструментов (CFI) ESVXFR; регистрационный номер дополнительного выпуска ценных бумаг 1-02-65105-D-006D от 14.03.2024 г., международный код (номер) идентификации ценных бумаг (ISIN): RU000A1082F7, международный код классификации финансовых инструментов (CFI): ESVXFR.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3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мая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LibreOffice/7.6.4.1$Linux_X86_64 LibreOffice_project/60$Build-1</Application>
  <AppVersion>15.0000</AppVersion>
  <Pages>1</Pages>
  <Words>325</Words>
  <Characters>2413</Characters>
  <CharactersWithSpaces>2709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2024-05-23T08:29:05Z</cp:lastPrinted>
  <dcterms:modified xsi:type="dcterms:W3CDTF">2024-05-23T08:28:09Z</dcterms:modified>
  <cp:revision>142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