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992"/>
        <w:jc w:val="center"/>
        <w:tabs>
          <w:tab w:val="left" w:pos="4395" w:leader="none"/>
        </w:tabs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Сообщение о существенном факте </w:t>
      </w:r>
      <w:r>
        <w:rPr>
          <w:b/>
          <w:bCs/>
          <w:sz w:val="21"/>
          <w:szCs w:val="21"/>
        </w:rPr>
      </w:r>
      <w:r>
        <w:rPr>
          <w:b/>
          <w:bCs/>
          <w:sz w:val="21"/>
          <w:szCs w:val="21"/>
        </w:rPr>
      </w:r>
    </w:p>
    <w:p>
      <w:pPr>
        <w:ind w:left="992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«О проведении общего собрания участников (акционеров) эмитента и о принятых им решениях»</w:t>
      </w:r>
      <w:r>
        <w:rPr>
          <w:b/>
          <w:bCs/>
          <w:sz w:val="21"/>
          <w:szCs w:val="21"/>
        </w:rPr>
      </w:r>
      <w:r>
        <w:rPr>
          <w:b/>
          <w:bCs/>
          <w:sz w:val="21"/>
          <w:szCs w:val="21"/>
        </w:rPr>
      </w:r>
    </w:p>
    <w:p>
      <w:pPr>
        <w:ind w:left="1134" w:right="1134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  <w:r>
        <w:rPr>
          <w:b/>
          <w:bCs/>
          <w:sz w:val="21"/>
          <w:szCs w:val="21"/>
        </w:rPr>
      </w:r>
      <w:r>
        <w:rPr>
          <w:b/>
          <w:bCs/>
          <w:sz w:val="21"/>
          <w:szCs w:val="21"/>
        </w:rPr>
      </w:r>
    </w:p>
    <w:tbl>
      <w:tblPr>
        <w:tblW w:w="10773" w:type="dxa"/>
        <w:tblInd w:w="5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87"/>
        <w:gridCol w:w="5886"/>
      </w:tblGrid>
      <w:tr>
        <w:tblPrEx/>
        <w:trPr>
          <w:cantSplit/>
        </w:trPr>
        <w:tc>
          <w:tcPr>
            <w:gridSpan w:val="2"/>
            <w:tcW w:w="10773" w:type="dxa"/>
            <w:textDirection w:val="lrTb"/>
            <w:noWrap w:val="false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Общие сведения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4887" w:type="dxa"/>
            <w:textDirection w:val="lrTb"/>
            <w:noWrap w:val="false"/>
          </w:tcPr>
          <w:p>
            <w:pPr>
              <w:jc w:val="both"/>
              <w:rPr>
                <w:bCs/>
                <w:iCs/>
                <w:sz w:val="21"/>
                <w:szCs w:val="21"/>
              </w:rPr>
            </w:pPr>
            <w:r>
              <w:rPr>
                <w:bCs/>
                <w:iCs/>
                <w:sz w:val="21"/>
                <w:szCs w:val="21"/>
              </w:rPr>
              <w:t xml:space="preserve">1.1. Полное фирменное наименование (для коммерческой организации) или наименование (для некоммерческой организации) эмитента</w:t>
            </w:r>
            <w:r>
              <w:rPr>
                <w:bCs/>
                <w:iCs/>
                <w:sz w:val="21"/>
                <w:szCs w:val="21"/>
              </w:rPr>
            </w:r>
            <w:r>
              <w:rPr>
                <w:bCs/>
                <w:iCs/>
                <w:sz w:val="21"/>
                <w:szCs w:val="21"/>
              </w:rPr>
            </w:r>
          </w:p>
          <w:p>
            <w:pPr>
              <w:rPr>
                <w:bCs/>
                <w:iCs/>
                <w:sz w:val="21"/>
                <w:szCs w:val="21"/>
              </w:rPr>
            </w:pPr>
            <w:r>
              <w:rPr>
                <w:bCs/>
                <w:iCs/>
                <w:sz w:val="21"/>
                <w:szCs w:val="21"/>
              </w:rPr>
            </w:r>
            <w:r>
              <w:rPr>
                <w:bCs/>
                <w:iCs/>
                <w:sz w:val="21"/>
                <w:szCs w:val="21"/>
              </w:rPr>
            </w:r>
            <w:r>
              <w:rPr>
                <w:bCs/>
                <w:iCs/>
                <w:sz w:val="21"/>
                <w:szCs w:val="21"/>
              </w:rPr>
            </w:r>
          </w:p>
        </w:tc>
        <w:tc>
          <w:tcPr>
            <w:shd w:val="clear" w:color="auto" w:fill="auto"/>
            <w:tcW w:w="5886" w:type="dxa"/>
            <w:textDirection w:val="lrTb"/>
            <w:noWrap w:val="false"/>
          </w:tcPr>
          <w:p>
            <w:pPr>
              <w:ind w:left="40" w:right="85"/>
              <w:rPr>
                <w:b/>
                <w:sz w:val="21"/>
                <w:szCs w:val="21"/>
              </w:rPr>
            </w:pPr>
            <w:r>
              <w:rPr>
                <w:b/>
                <w:bCs/>
                <w:iCs/>
                <w:sz w:val="21"/>
                <w:szCs w:val="21"/>
              </w:rPr>
              <w:t xml:space="preserve">Публичное акционерное общество «Вторая генерирующая компания оптового рынка электроэнергии»</w:t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4887" w:type="dxa"/>
            <w:textDirection w:val="lrTb"/>
            <w:noWrap w:val="false"/>
          </w:tcPr>
          <w:p>
            <w:pPr>
              <w:jc w:val="both"/>
              <w:rPr>
                <w:bCs/>
                <w:iCs/>
                <w:sz w:val="21"/>
                <w:szCs w:val="21"/>
              </w:rPr>
            </w:pPr>
            <w:r>
              <w:rPr>
                <w:bCs/>
                <w:iCs/>
                <w:sz w:val="21"/>
                <w:szCs w:val="21"/>
              </w:rPr>
              <w:t xml:space="preserve">1.2. Адрес эмитента, указанный в едином государственном реестре юридических лиц</w:t>
            </w:r>
            <w:r>
              <w:rPr>
                <w:bCs/>
                <w:iCs/>
                <w:sz w:val="21"/>
                <w:szCs w:val="21"/>
              </w:rPr>
            </w:r>
            <w:r>
              <w:rPr>
                <w:bCs/>
                <w:iCs/>
                <w:sz w:val="21"/>
                <w:szCs w:val="21"/>
              </w:rPr>
            </w:r>
          </w:p>
        </w:tc>
        <w:tc>
          <w:tcPr>
            <w:shd w:val="clear" w:color="auto" w:fill="auto"/>
            <w:tcW w:w="5886" w:type="dxa"/>
            <w:textDirection w:val="lrTb"/>
            <w:noWrap w:val="false"/>
          </w:tcPr>
          <w:p>
            <w:pPr>
              <w:ind w:left="40" w:right="85"/>
              <w:rPr>
                <w:b/>
                <w:bCs/>
                <w:iCs/>
                <w:sz w:val="21"/>
                <w:szCs w:val="21"/>
              </w:rPr>
            </w:pPr>
            <w:r>
              <w:rPr>
                <w:b/>
                <w:bCs/>
                <w:iCs/>
                <w:sz w:val="21"/>
                <w:szCs w:val="21"/>
              </w:rPr>
              <w:t xml:space="preserve">196605, г. Санкт-Петербург, </w:t>
            </w:r>
            <w:r>
              <w:rPr>
                <w:b/>
                <w:bCs/>
                <w:iCs/>
                <w:sz w:val="21"/>
                <w:szCs w:val="21"/>
              </w:rPr>
              <w:t xml:space="preserve">вн.тер.г</w:t>
            </w:r>
            <w:r>
              <w:rPr>
                <w:b/>
                <w:bCs/>
                <w:iCs/>
                <w:sz w:val="21"/>
                <w:szCs w:val="21"/>
              </w:rPr>
              <w:t xml:space="preserve">. поселок </w:t>
            </w:r>
            <w:r>
              <w:rPr>
                <w:b/>
                <w:bCs/>
                <w:iCs/>
                <w:sz w:val="21"/>
                <w:szCs w:val="21"/>
              </w:rPr>
              <w:t xml:space="preserve">Шушары</w:t>
            </w:r>
            <w:r>
              <w:rPr>
                <w:b/>
                <w:bCs/>
                <w:iCs/>
                <w:sz w:val="21"/>
                <w:szCs w:val="21"/>
              </w:rPr>
              <w:t xml:space="preserve">, </w:t>
            </w:r>
            <w:r>
              <w:rPr>
                <w:b/>
                <w:bCs/>
                <w:iCs/>
                <w:sz w:val="21"/>
                <w:szCs w:val="21"/>
              </w:rPr>
            </w:r>
            <w:r>
              <w:rPr>
                <w:b/>
                <w:bCs/>
                <w:iCs/>
                <w:sz w:val="21"/>
                <w:szCs w:val="21"/>
              </w:rPr>
            </w:r>
          </w:p>
          <w:p>
            <w:pPr>
              <w:ind w:left="40" w:right="85"/>
              <w:rPr>
                <w:b/>
                <w:bCs/>
                <w:iCs/>
                <w:sz w:val="21"/>
                <w:szCs w:val="21"/>
              </w:rPr>
            </w:pPr>
            <w:r>
              <w:rPr>
                <w:b/>
                <w:bCs/>
                <w:iCs/>
                <w:sz w:val="21"/>
                <w:szCs w:val="21"/>
              </w:rPr>
              <w:t xml:space="preserve">ш Петербургское, д. 66, к. 1, литера А, этаж 7, </w:t>
            </w:r>
            <w:r>
              <w:rPr>
                <w:b/>
                <w:bCs/>
                <w:iCs/>
                <w:sz w:val="21"/>
                <w:szCs w:val="21"/>
              </w:rPr>
              <w:t xml:space="preserve">помещ</w:t>
            </w:r>
            <w:r>
              <w:rPr>
                <w:b/>
                <w:bCs/>
                <w:iCs/>
                <w:sz w:val="21"/>
                <w:szCs w:val="21"/>
              </w:rPr>
              <w:t xml:space="preserve">. </w:t>
            </w:r>
            <w:r>
              <w:rPr>
                <w:b/>
                <w:bCs/>
                <w:iCs/>
                <w:sz w:val="21"/>
                <w:szCs w:val="21"/>
              </w:rPr>
            </w:r>
            <w:r>
              <w:rPr>
                <w:b/>
                <w:bCs/>
                <w:iCs/>
                <w:sz w:val="21"/>
                <w:szCs w:val="21"/>
              </w:rPr>
            </w:r>
          </w:p>
          <w:p>
            <w:pPr>
              <w:ind w:left="40" w:right="85"/>
              <w:rPr>
                <w:b/>
                <w:sz w:val="21"/>
                <w:szCs w:val="21"/>
              </w:rPr>
            </w:pPr>
            <w:r>
              <w:rPr>
                <w:b/>
                <w:bCs/>
                <w:iCs/>
                <w:sz w:val="21"/>
                <w:szCs w:val="21"/>
              </w:rPr>
              <w:t xml:space="preserve">36-Н, </w:t>
            </w:r>
            <w:r>
              <w:rPr>
                <w:b/>
                <w:bCs/>
                <w:iCs/>
                <w:sz w:val="21"/>
                <w:szCs w:val="21"/>
              </w:rPr>
              <w:t xml:space="preserve">каб</w:t>
            </w:r>
            <w:r>
              <w:rPr>
                <w:b/>
                <w:bCs/>
                <w:iCs/>
                <w:sz w:val="21"/>
                <w:szCs w:val="21"/>
              </w:rPr>
              <w:t xml:space="preserve">. 701</w:t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4887" w:type="dxa"/>
            <w:textDirection w:val="lrTb"/>
            <w:noWrap w:val="false"/>
          </w:tcPr>
          <w:p>
            <w:pPr>
              <w:jc w:val="both"/>
              <w:rPr>
                <w:bCs/>
                <w:iCs/>
                <w:sz w:val="21"/>
                <w:szCs w:val="21"/>
              </w:rPr>
            </w:pPr>
            <w:r>
              <w:rPr>
                <w:bCs/>
                <w:iCs/>
                <w:sz w:val="21"/>
                <w:szCs w:val="21"/>
              </w:rPr>
              <w:t xml:space="preserve">1.3. Основной государственный регистрационный номер (ОГРН) эмитента (при наличии)</w:t>
            </w:r>
            <w:r>
              <w:rPr>
                <w:bCs/>
                <w:iCs/>
                <w:sz w:val="21"/>
                <w:szCs w:val="21"/>
              </w:rPr>
              <w:t xml:space="preserve"> </w:t>
            </w:r>
            <w:r>
              <w:rPr>
                <w:bCs/>
                <w:iCs/>
                <w:sz w:val="21"/>
                <w:szCs w:val="21"/>
              </w:rPr>
            </w:r>
            <w:r>
              <w:rPr>
                <w:bCs/>
                <w:iCs/>
                <w:sz w:val="21"/>
                <w:szCs w:val="21"/>
              </w:rPr>
            </w:r>
          </w:p>
        </w:tc>
        <w:tc>
          <w:tcPr>
            <w:shd w:val="clear" w:color="auto" w:fill="auto"/>
            <w:tcW w:w="5886" w:type="dxa"/>
            <w:textDirection w:val="lrTb"/>
            <w:noWrap w:val="false"/>
          </w:tcPr>
          <w:p>
            <w:pPr>
              <w:ind w:left="40" w:right="85"/>
              <w:rPr>
                <w:b/>
                <w:bCs/>
                <w:iCs/>
                <w:sz w:val="21"/>
                <w:szCs w:val="21"/>
              </w:rPr>
            </w:pPr>
            <w:r>
              <w:rPr>
                <w:b/>
                <w:bCs/>
                <w:iCs/>
                <w:sz w:val="21"/>
                <w:szCs w:val="21"/>
              </w:rPr>
              <w:t xml:space="preserve">1052600002180</w:t>
            </w:r>
            <w:r>
              <w:rPr>
                <w:b/>
                <w:bCs/>
                <w:iCs/>
                <w:sz w:val="21"/>
                <w:szCs w:val="21"/>
              </w:rPr>
            </w:r>
            <w:r>
              <w:rPr>
                <w:b/>
                <w:bCs/>
                <w:iCs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4887" w:type="dxa"/>
            <w:textDirection w:val="lrTb"/>
            <w:noWrap w:val="false"/>
          </w:tcPr>
          <w:p>
            <w:pPr>
              <w:jc w:val="both"/>
              <w:rPr>
                <w:bCs/>
                <w:iCs/>
                <w:sz w:val="21"/>
                <w:szCs w:val="21"/>
              </w:rPr>
            </w:pPr>
            <w:r>
              <w:rPr>
                <w:bCs/>
                <w:iCs/>
                <w:sz w:val="21"/>
                <w:szCs w:val="21"/>
              </w:rPr>
              <w:t xml:space="preserve">1.4. Идентификационный номер налогоплательщика (ИНН) эмитента (при наличии)</w:t>
            </w:r>
            <w:r>
              <w:rPr>
                <w:bCs/>
                <w:iCs/>
                <w:sz w:val="21"/>
                <w:szCs w:val="21"/>
              </w:rPr>
            </w:r>
            <w:r>
              <w:rPr>
                <w:bCs/>
                <w:iCs/>
                <w:sz w:val="21"/>
                <w:szCs w:val="21"/>
              </w:rPr>
            </w:r>
          </w:p>
        </w:tc>
        <w:tc>
          <w:tcPr>
            <w:shd w:val="clear" w:color="auto" w:fill="auto"/>
            <w:tcW w:w="5886" w:type="dxa"/>
            <w:textDirection w:val="lrTb"/>
            <w:noWrap w:val="false"/>
          </w:tcPr>
          <w:p>
            <w:pPr>
              <w:ind w:left="40" w:right="85"/>
              <w:rPr>
                <w:b/>
                <w:bCs/>
                <w:iCs/>
                <w:sz w:val="21"/>
                <w:szCs w:val="21"/>
              </w:rPr>
            </w:pPr>
            <w:r>
              <w:rPr>
                <w:b/>
                <w:bCs/>
                <w:iCs/>
                <w:sz w:val="21"/>
                <w:szCs w:val="21"/>
              </w:rPr>
              <w:t xml:space="preserve">2607018122</w:t>
            </w:r>
            <w:r>
              <w:rPr>
                <w:b/>
                <w:bCs/>
                <w:iCs/>
                <w:sz w:val="21"/>
                <w:szCs w:val="21"/>
              </w:rPr>
            </w:r>
            <w:r>
              <w:rPr>
                <w:b/>
                <w:bCs/>
                <w:iCs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4887" w:type="dxa"/>
            <w:textDirection w:val="lrTb"/>
            <w:noWrap w:val="false"/>
          </w:tcPr>
          <w:p>
            <w:pPr>
              <w:jc w:val="both"/>
              <w:rPr>
                <w:bCs/>
                <w:iCs/>
                <w:sz w:val="21"/>
                <w:szCs w:val="21"/>
              </w:rPr>
            </w:pPr>
            <w:r>
              <w:rPr>
                <w:bCs/>
                <w:iCs/>
                <w:sz w:val="21"/>
                <w:szCs w:val="21"/>
              </w:rPr>
              <w:t xml:space="preserve">1.5. Уникальный код эмитента, присвоенный Банком России</w:t>
            </w:r>
            <w:r>
              <w:rPr>
                <w:bCs/>
                <w:iCs/>
                <w:sz w:val="21"/>
                <w:szCs w:val="21"/>
              </w:rPr>
            </w:r>
            <w:r>
              <w:rPr>
                <w:bCs/>
                <w:iCs/>
                <w:sz w:val="21"/>
                <w:szCs w:val="21"/>
              </w:rPr>
            </w:r>
          </w:p>
        </w:tc>
        <w:tc>
          <w:tcPr>
            <w:shd w:val="clear" w:color="auto" w:fill="auto"/>
            <w:tcW w:w="5886" w:type="dxa"/>
            <w:textDirection w:val="lrTb"/>
            <w:noWrap w:val="false"/>
          </w:tcPr>
          <w:p>
            <w:pPr>
              <w:ind w:left="40" w:right="85"/>
              <w:rPr>
                <w:b/>
                <w:bCs/>
                <w:iCs/>
                <w:sz w:val="21"/>
                <w:szCs w:val="21"/>
              </w:rPr>
            </w:pPr>
            <w:r>
              <w:rPr>
                <w:b/>
                <w:bCs/>
                <w:iCs/>
                <w:sz w:val="21"/>
                <w:szCs w:val="21"/>
              </w:rPr>
              <w:t xml:space="preserve">65105-D</w:t>
            </w:r>
            <w:r>
              <w:rPr>
                <w:b/>
                <w:bCs/>
                <w:iCs/>
                <w:sz w:val="21"/>
                <w:szCs w:val="21"/>
              </w:rPr>
            </w:r>
            <w:r>
              <w:rPr>
                <w:b/>
                <w:bCs/>
                <w:iCs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4887" w:type="dxa"/>
            <w:textDirection w:val="lrTb"/>
            <w:noWrap w:val="false"/>
          </w:tcPr>
          <w:p>
            <w:pPr>
              <w:rPr>
                <w:bCs/>
                <w:iCs/>
                <w:sz w:val="21"/>
                <w:szCs w:val="21"/>
              </w:rPr>
            </w:pPr>
            <w:r>
              <w:rPr>
                <w:bCs/>
                <w:iCs/>
                <w:sz w:val="21"/>
                <w:szCs w:val="21"/>
              </w:rPr>
              <w:t xml:space="preserve">1.6. Адрес страницы в сети Интернет, используемой эмитентом для раскрытия информации</w:t>
            </w:r>
            <w:r>
              <w:rPr>
                <w:bCs/>
                <w:iCs/>
                <w:sz w:val="21"/>
                <w:szCs w:val="21"/>
              </w:rPr>
            </w:r>
            <w:r>
              <w:rPr>
                <w:bCs/>
                <w:iCs/>
                <w:sz w:val="21"/>
                <w:szCs w:val="21"/>
              </w:rPr>
            </w:r>
          </w:p>
        </w:tc>
        <w:tc>
          <w:tcPr>
            <w:shd w:val="clear" w:color="auto" w:fill="auto"/>
            <w:tcW w:w="5886" w:type="dxa"/>
            <w:textDirection w:val="lrTb"/>
            <w:noWrap w:val="false"/>
          </w:tcPr>
          <w:p>
            <w:pPr>
              <w:ind w:right="57"/>
              <w:rPr>
                <w:b/>
                <w:bCs/>
                <w:iCs/>
                <w:sz w:val="21"/>
                <w:szCs w:val="21"/>
              </w:rPr>
            </w:pPr>
            <w:r>
              <w:rPr>
                <w:b/>
                <w:bCs/>
                <w:iCs/>
                <w:sz w:val="21"/>
                <w:szCs w:val="21"/>
              </w:rPr>
            </w:r>
            <w:r>
              <w:rPr>
                <w:b/>
                <w:bCs/>
                <w:iCs/>
                <w:sz w:val="21"/>
                <w:szCs w:val="21"/>
              </w:rPr>
            </w:r>
            <w:r>
              <w:rPr>
                <w:b/>
                <w:bCs/>
                <w:iCs/>
                <w:sz w:val="21"/>
                <w:szCs w:val="21"/>
              </w:rPr>
            </w:r>
          </w:p>
          <w:p>
            <w:pPr>
              <w:ind w:left="40" w:right="85"/>
              <w:rPr>
                <w:b/>
                <w:bCs/>
                <w:iCs/>
                <w:sz w:val="21"/>
                <w:szCs w:val="21"/>
              </w:rPr>
            </w:pPr>
            <w:r/>
            <w:hyperlink r:id="rId11" w:tooltip="https://www.ogk2.ru" w:history="1">
              <w:r>
                <w:rPr>
                  <w:b/>
                  <w:bCs/>
                  <w:iCs/>
                  <w:sz w:val="21"/>
                  <w:szCs w:val="21"/>
                </w:rPr>
                <w:t xml:space="preserve">https://www.ogk2.ru</w:t>
              </w:r>
            </w:hyperlink>
            <w:r>
              <w:rPr>
                <w:b/>
                <w:bCs/>
                <w:iCs/>
                <w:sz w:val="21"/>
                <w:szCs w:val="21"/>
              </w:rPr>
            </w:r>
            <w:r>
              <w:rPr>
                <w:b/>
                <w:bCs/>
                <w:iCs/>
                <w:sz w:val="21"/>
                <w:szCs w:val="21"/>
              </w:rPr>
            </w:r>
          </w:p>
          <w:p>
            <w:pPr>
              <w:ind w:left="40" w:right="85"/>
              <w:rPr>
                <w:b/>
                <w:bCs/>
                <w:iCs/>
                <w:sz w:val="21"/>
                <w:szCs w:val="21"/>
              </w:rPr>
            </w:pPr>
            <w:r/>
            <w:hyperlink r:id="rId12" w:tooltip="https://www.e-disclosure.ru/portal/company.aspx?id=7234" w:history="1">
              <w:r>
                <w:rPr>
                  <w:b/>
                  <w:bCs/>
                  <w:iCs/>
                  <w:sz w:val="21"/>
                  <w:szCs w:val="21"/>
                </w:rPr>
                <w:t xml:space="preserve">https://www.e-disclosure.ru/portal/company.aspx?id=7234</w:t>
              </w:r>
            </w:hyperlink>
            <w:r>
              <w:rPr>
                <w:b/>
                <w:bCs/>
                <w:iCs/>
                <w:sz w:val="21"/>
                <w:szCs w:val="21"/>
              </w:rPr>
            </w:r>
            <w:r>
              <w:rPr>
                <w:b/>
                <w:bCs/>
                <w:iCs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4887" w:type="dxa"/>
            <w:textDirection w:val="lrTb"/>
            <w:noWrap w:val="false"/>
          </w:tcPr>
          <w:p>
            <w:pPr>
              <w:jc w:val="both"/>
              <w:rPr>
                <w:bCs/>
                <w:iCs/>
                <w:sz w:val="21"/>
                <w:szCs w:val="21"/>
              </w:rPr>
            </w:pPr>
            <w:r>
              <w:rPr>
                <w:bCs/>
                <w:iCs/>
                <w:sz w:val="21"/>
                <w:szCs w:val="21"/>
              </w:rPr>
              <w:t xml:space="preserve">1.7. Дата наступления события (существенного факта), о котором составлено сообщение</w:t>
            </w:r>
            <w:r>
              <w:rPr>
                <w:bCs/>
                <w:iCs/>
                <w:sz w:val="21"/>
                <w:szCs w:val="21"/>
              </w:rPr>
            </w:r>
            <w:r>
              <w:rPr>
                <w:bCs/>
                <w:iCs/>
                <w:sz w:val="21"/>
                <w:szCs w:val="21"/>
              </w:rPr>
            </w:r>
          </w:p>
        </w:tc>
        <w:tc>
          <w:tcPr>
            <w:shd w:val="clear" w:color="auto" w:fill="auto"/>
            <w:tcW w:w="5886" w:type="dxa"/>
            <w:textDirection w:val="lrTb"/>
            <w:noWrap w:val="false"/>
          </w:tcPr>
          <w:p>
            <w:pPr>
              <w:ind w:left="40" w:right="85"/>
              <w:rPr>
                <w:b/>
                <w:bCs/>
                <w:iCs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b/>
                <w:bCs/>
                <w:iCs/>
                <w:color w:val="000000" w:themeColor="text1"/>
                <w:sz w:val="21"/>
                <w:szCs w:val="21"/>
                <w:highlight w:val="white"/>
              </w:rPr>
              <w:t xml:space="preserve">19</w:t>
            </w:r>
            <w:r>
              <w:rPr>
                <w:b/>
                <w:bCs/>
                <w:iCs/>
                <w:color w:val="000000" w:themeColor="text1"/>
                <w:sz w:val="21"/>
                <w:szCs w:val="21"/>
                <w:highlight w:val="white"/>
              </w:rPr>
              <w:t xml:space="preserve">.06</w:t>
            </w:r>
            <w:r>
              <w:rPr>
                <w:b/>
                <w:bCs/>
                <w:iCs/>
                <w:color w:val="000000" w:themeColor="text1"/>
                <w:sz w:val="21"/>
                <w:szCs w:val="21"/>
                <w:highlight w:val="white"/>
              </w:rPr>
              <w:t xml:space="preserve">.2026</w:t>
            </w:r>
            <w:r>
              <w:rPr>
                <w:b/>
                <w:bCs/>
                <w:iCs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b/>
                <w:bCs/>
                <w:iCs/>
                <w:color w:val="000000" w:themeColor="text1"/>
                <w:sz w:val="21"/>
                <w:szCs w:val="21"/>
                <w:highlight w:val="white"/>
              </w:rPr>
            </w:r>
          </w:p>
        </w:tc>
      </w:tr>
    </w:tbl>
    <w:p>
      <w:pPr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tbl>
      <w:tblPr>
        <w:tblW w:w="11448" w:type="dxa"/>
        <w:tblInd w:w="-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5"/>
        <w:gridCol w:w="9214"/>
        <w:gridCol w:w="1559"/>
      </w:tblGrid>
      <w:tr>
        <w:tblPrEx/>
        <w:trPr>
          <w:gridBefore w:val="1"/>
        </w:trPr>
        <w:tc>
          <w:tcPr>
            <w:gridSpan w:val="2"/>
            <w:tcW w:w="10773" w:type="dxa"/>
            <w:textDirection w:val="lrTb"/>
            <w:noWrap w:val="false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Содержание сообщения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</w:tblPrEx>
        <w:trPr>
          <w:gridAfter w:val="1"/>
          <w:trHeight w:val="86"/>
        </w:trPr>
        <w:tc>
          <w:tcPr>
            <w:gridSpan w:val="2"/>
            <w:tcW w:w="9889" w:type="dxa"/>
            <w:textDirection w:val="lrTb"/>
            <w:noWrap w:val="false"/>
          </w:tcPr>
          <w:p>
            <w:pPr>
              <w:pStyle w:val="906"/>
              <w:jc w:val="right"/>
              <w:rPr>
                <w:spacing w:val="-2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</w:r>
            <w:r>
              <w:rPr>
                <w:spacing w:val="-2"/>
                <w:sz w:val="21"/>
                <w:szCs w:val="21"/>
              </w:rPr>
            </w:r>
            <w:r>
              <w:rPr>
                <w:spacing w:val="-2"/>
                <w:sz w:val="21"/>
                <w:szCs w:val="21"/>
              </w:rPr>
            </w:r>
          </w:p>
        </w:tc>
      </w:tr>
      <w:tr>
        <w:tblPrEx/>
        <w:trPr>
          <w:gridBefore w:val="1"/>
          <w:trHeight w:val="274"/>
        </w:trPr>
        <w:tc>
          <w:tcPr>
            <w:gridSpan w:val="2"/>
            <w:tcW w:w="10773" w:type="dxa"/>
            <w:textDirection w:val="lrTb"/>
            <w:noWrap w:val="false"/>
          </w:tcPr>
          <w:p>
            <w:pPr>
              <w:ind w:right="57"/>
              <w:jc w:val="both"/>
              <w:rPr>
                <w:b/>
                <w:bCs/>
                <w:i/>
                <w:iCs/>
                <w:sz w:val="21"/>
                <w:szCs w:val="21"/>
              </w:rPr>
              <w:outlineLvl w:val="3"/>
            </w:pPr>
            <w:r>
              <w:rPr>
                <w:bCs/>
                <w:iCs/>
                <w:sz w:val="21"/>
                <w:szCs w:val="21"/>
              </w:rPr>
              <w:t xml:space="preserve">2.1. Вид общего собрания акционеров эмитента: 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годовое (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очередное)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.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>
              <w:rPr>
                <w:b/>
                <w:bCs/>
                <w:i/>
                <w:iCs/>
                <w:sz w:val="21"/>
                <w:szCs w:val="21"/>
              </w:rPr>
            </w:r>
            <w:r>
              <w:rPr>
                <w:b/>
                <w:bCs/>
                <w:i/>
                <w:iCs/>
                <w:sz w:val="21"/>
                <w:szCs w:val="21"/>
              </w:rPr>
            </w:r>
          </w:p>
          <w:p>
            <w:pPr>
              <w:ind w:right="57"/>
              <w:jc w:val="both"/>
              <w:rPr>
                <w:b/>
                <w:i/>
                <w:sz w:val="21"/>
                <w:szCs w:val="21"/>
              </w:rPr>
              <w:outlineLvl w:val="3"/>
            </w:pPr>
            <w:r>
              <w:rPr>
                <w:bCs/>
                <w:iCs/>
                <w:sz w:val="21"/>
                <w:szCs w:val="21"/>
              </w:rPr>
              <w:t xml:space="preserve">2.2. Форма проведения общего собрания акционеров эмитента: </w:t>
            </w:r>
            <w:r>
              <w:rPr>
                <w:b/>
                <w:i/>
                <w:sz w:val="21"/>
                <w:szCs w:val="21"/>
              </w:rPr>
              <w:t xml:space="preserve">Способ принятия решений Общим собранием акционеров – заседание, голосование на котором совмещается с заочным голосованием. </w:t>
            </w:r>
            <w:r>
              <w:rPr>
                <w:rFonts w:ascii="Arial" w:hAnsi="Arial" w:eastAsia="Arial" w:cs="Arial"/>
                <w:color w:val="000000"/>
                <w:sz w:val="18"/>
                <w:highlight w:val="white"/>
              </w:rPr>
              <w:t xml:space="preserve"> </w:t>
            </w:r>
            <w:r>
              <w:rPr>
                <w:b/>
                <w:i/>
                <w:sz w:val="21"/>
                <w:szCs w:val="21"/>
              </w:rPr>
            </w:r>
            <w:r>
              <w:rPr>
                <w:b/>
                <w:i/>
                <w:sz w:val="21"/>
                <w:szCs w:val="21"/>
              </w:rPr>
            </w:r>
          </w:p>
          <w:p>
            <w:pPr>
              <w:pStyle w:val="898"/>
              <w:ind w:right="57"/>
              <w:jc w:val="both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Liberation Serif" w:hAnsi="Liberation Serif" w:cs="Liberation Serif"/>
                <w:bCs/>
                <w:iCs/>
                <w:sz w:val="21"/>
                <w:szCs w:val="21"/>
              </w:rPr>
            </w:pPr>
            <w:r>
              <w:rPr>
                <w:rFonts w:ascii="Liberation Serif" w:hAnsi="Liberation Serif" w:eastAsia="Liberation Serif" w:cs="Liberation Serif"/>
                <w:bCs/>
                <w:iCs/>
                <w:sz w:val="21"/>
                <w:szCs w:val="21"/>
              </w:rPr>
              <w:t xml:space="preserve">2.3. </w:t>
            </w:r>
            <w:r>
              <w:rPr>
                <w:rFonts w:ascii="Liberation Serif" w:hAnsi="Liberation Serif" w:eastAsia="Liberation Serif" w:cs="Liberation Serif"/>
                <w:color w:val="000000"/>
                <w:sz w:val="21"/>
                <w:szCs w:val="21"/>
                <w:highlight w:val="white"/>
              </w:rPr>
              <w:t xml:space="preserve">Дата, место, время проведения общего собрания участников (акционеров) эмитента, почтовый адрес, адрес электронной почты для направления заполненных бюллетеней для голосования, а если общее собрание акционеров проводится с возможностью заполнения электронно</w:t>
            </w:r>
            <w:r>
              <w:rPr>
                <w:rFonts w:ascii="Liberation Serif" w:hAnsi="Liberation Serif" w:eastAsia="Liberation Serif" w:cs="Liberation Serif"/>
                <w:color w:val="000000"/>
                <w:sz w:val="21"/>
                <w:szCs w:val="21"/>
                <w:highlight w:val="white"/>
              </w:rPr>
              <w:t xml:space="preserve">й формы бюллетеней на сайте в сети "Интернет" - также адрес сайта в сети «Интернет», на котором заполняются электронные формы бюллетеней для голосования: </w:t>
            </w:r>
            <w:r>
              <w:rPr>
                <w:rFonts w:ascii="Liberation Serif" w:hAnsi="Liberation Serif" w:cs="Liberation Serif"/>
                <w:bCs/>
                <w:i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Cs/>
                <w:iCs/>
                <w:sz w:val="21"/>
                <w:szCs w:val="21"/>
              </w:rPr>
            </w:r>
          </w:p>
          <w:p>
            <w:pPr>
              <w:ind w:left="0" w:right="0" w:firstLine="0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color w:val="000000"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д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ата проведения:  18 июня 2026 года; </w:t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000000"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color w:val="000000"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none"/>
              </w:rPr>
              <w:t xml:space="preserve">время открытия заседания: 11 часов 00 минут;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color w:val="000000"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none"/>
              </w:rPr>
              <w:t xml:space="preserve">время начала подсчета голосов: 12 часов 05 минут;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color w:val="000000"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none"/>
              </w:rPr>
              <w:t xml:space="preserve">время закрытия заседания: 12 часов 35 минут;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место проведения: г. Санкт-Петербург, пос. Шушары, Петербургское шоссе, д.62, корп.1 (отель Hilton St. Petersburg ExpoForum), конференц-зал "Бальный";</w:t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ind w:left="0" w:right="0" w:firstLine="0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время проведения: 11 часов 00 минут по местному времени;</w:t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ind w:left="0" w:right="0" w:firstLine="0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дата окончания приема бюллетеней для голосования при заочном голосовании: 15 июня 2026 года;</w:t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почтовый адрес для направления заполненных бюллетеней для голосования: 196605, г. Санкт-Петербург, вн.тер.г. поселок Шушары, ш. Петербургское, д. 66, к. 1, литера А, этаж 7, помещ. 36-Н, каб. 701, ПАО «ОГК-2».</w:t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адрес электронной почты для направления заполненных бюллетеней для голосования: не используется;</w:t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адрес сайта в сети Интернет, на котором заполняются электронные формы бюллетеней для голосования: Электронная форма бюллетеней может быть заполнена на сайте регистратора www.draga.ru в информационно-телекоммуникационной сети Интернет в разделе Акционерам =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&gt; Услуги =&gt; Участие в собрании акционеров =&gt; Заполнить электронную форму бюллетеня =&gt; Сервис «Личный кабинет акционера» (ПАО «ОГК-2») или по ссылке: https://draga.ru/akcioneram/uslugi/uchastie-v-sobranii-akcionerov/golosovanie/pao-ogk-2/  (для участия в эл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ектронном голосовании акционер ПАО «ОГК-2» должен получить доступ к сервису «Личный кабинет акционера». С порядком получения доступа можно ознакомиться на странице https://draga.ru/akcioneram/jelektronnye-servisy/lichnyj-kabinet-akcionera/).</w:t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ind w:right="57"/>
              <w:jc w:val="both"/>
              <w:rPr>
                <w:rFonts w:ascii="Liberation Sans" w:hAnsi="Liberation Sans" w:cs="Liberation Sans"/>
                <w:b/>
                <w:bCs/>
                <w:i/>
                <w:sz w:val="21"/>
                <w:szCs w:val="21"/>
              </w:rPr>
              <w:outlineLvl w:val="3"/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Лица, осуществляющие права по ценным бумагам, если их права на ценные бумаги учитываются номинальным держателем, иностранным номинальным держателем, иностранной организацией, имеющей право в соответствии с ее личным законом осуществлять учет и переход прав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 на ценные бумаги, могут принять участие в Собрании и осуществить право голоса в порядке, установленном ст. 8.9. Федерального закона «О рынке ценных бумаг», с помощью электронных средств через депозитарную систему учета.</w:t>
            </w:r>
            <w:r>
              <w:rPr>
                <w:rFonts w:ascii="Liberation Sans" w:hAnsi="Liberation Sans" w:cs="Liberation Sans"/>
                <w:b/>
                <w:bCs/>
                <w:i/>
                <w:sz w:val="21"/>
                <w:szCs w:val="21"/>
              </w:rPr>
            </w:r>
            <w:r>
              <w:rPr>
                <w:rFonts w:ascii="Liberation Sans" w:hAnsi="Liberation Sans" w:cs="Liberation Sans"/>
                <w:b/>
                <w:bCs/>
                <w:i/>
                <w:sz w:val="21"/>
                <w:szCs w:val="21"/>
              </w:rPr>
            </w:r>
          </w:p>
          <w:p>
            <w:pPr>
              <w:ind w:right="57"/>
              <w:jc w:val="both"/>
              <w:rPr>
                <w:bCs/>
                <w:iCs/>
                <w:sz w:val="21"/>
                <w:szCs w:val="21"/>
              </w:rPr>
              <w:outlineLvl w:val="3"/>
            </w:pPr>
            <w:r>
              <w:rPr>
                <w:bCs/>
                <w:iCs/>
                <w:sz w:val="21"/>
                <w:szCs w:val="21"/>
              </w:rPr>
              <w:t xml:space="preserve">2.4. Сведения о кворуме общего собрания акционеров эмитента:</w:t>
            </w:r>
            <w:r>
              <w:rPr>
                <w:bCs/>
                <w:iCs/>
                <w:sz w:val="21"/>
                <w:szCs w:val="21"/>
              </w:rPr>
            </w:r>
            <w:r>
              <w:rPr>
                <w:bCs/>
                <w:iCs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auto"/>
                <w:sz w:val="21"/>
                <w:szCs w:val="21"/>
              </w:rPr>
              <w:t xml:space="preserve">На 24.05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auto"/>
                <w:sz w:val="21"/>
                <w:szCs w:val="21"/>
              </w:rPr>
              <w:t xml:space="preserve">.2026 - </w:t>
            </w:r>
            <w:r>
              <w:rPr>
                <w:rFonts w:ascii="Liberation Serif" w:hAnsi="Liberation Serif" w:eastAsia="Liberation Serif" w:cs="Liberation Serif"/>
                <w:color w:val="auto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auto"/>
                <w:sz w:val="21"/>
                <w:szCs w:val="21"/>
                <w:highlight w:val="white"/>
              </w:rPr>
              <w:t xml:space="preserve">дату определения (фиксации) лиц, имевших право голоса при принятии решений Общим собранием акционеров ПАО «ОГК-2» (далее – Собрание), число голосов которыми обладали акционеры - владельцы голосующих акций Общества (лица, включенные в список лиц, имевших г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auto"/>
                <w:sz w:val="21"/>
                <w:szCs w:val="21"/>
                <w:highlight w:val="white"/>
              </w:rPr>
              <w:t xml:space="preserve">олоса при принятии решений Собранием) составило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136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207 331 098.</w:t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Число голосов, приходившихся на голосующие акции Общества по вопросам 1, 2, 3, 4, 7, 8, 9 повестки дня Собрания, определенное с учетом положений пункта 4.24 Положения Банка России от 16 ноября 2018 г. № 660-п «Об общих собраниях акционеров»: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136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9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7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6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9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0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9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8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.</w:t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По вопросу 5 повестки дня собрания число кумулятивных голосов, которыми обладали лица, включенные в Список лиц, имевших право на участие в Общем собрании акционеров, составило: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5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8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6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5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9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7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9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8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8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.</w:t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color w:val="000000" w:themeColor="text1"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Число кумулятивных голосов, приходившихся на голосующие акции Общества по вопросу 5 повестки дня Собрания, определенное с учетом положений пункта 4.24 Положения Банка России от 16 ноября 2018 г. № 660-п «Об общих собраниях акционеров»: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5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7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7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9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5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8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По вопросу 6 повестки дня собрания число кумулятивных голосов, которыми обладали лица, включенные в Список лиц, имевших право на участие в Общем собрании акционеров, составило: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498 280 642 078.</w:t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color w:val="000000" w:themeColor="text1"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Число кумулятивных голосов, приходившихся на голосующие акции Общества по вопросу 6 повестки дня Собрания, определенное с учетом положений пункта 4.24 Положения Банка России от 16 ноября 2018 г. № 660-п «Об общих собраниях акционеров»: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4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9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8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7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4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5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9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4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7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8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Число голосов, которыми обладали акционеры - владельцы голосующих акций Общества, принявшие участие в Собрании, по вопросам 1, 2, 3, 4, 7, 8, 9 повестки дня Собрания: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8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9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5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4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5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6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7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.</w:t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color w:val="000000" w:themeColor="text1"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Число кумулятивных голосов, которыми обладали лица, принявшие участие в общем собрании по вопросу 5 повестки дня собрания, составило –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8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0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5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8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7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4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0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5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8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9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8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Число кумулятивных голосов, которыми обладали лица, принявшие участие в общем собрании по вопросу 6 повестки дня собрания, составило –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9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8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4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9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5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7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7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4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</w:p>
          <w:p>
            <w:pPr>
              <w:ind w:right="57"/>
              <w:jc w:val="both"/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  <w:outlineLvl w:val="3"/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Кворум имелся.</w:t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</w:p>
          <w:p>
            <w:pPr>
              <w:ind w:right="57"/>
              <w:jc w:val="both"/>
              <w:rPr>
                <w:b/>
                <w:i/>
                <w:sz w:val="21"/>
                <w:szCs w:val="21"/>
              </w:rPr>
              <w:outlineLvl w:val="3"/>
            </w:pPr>
            <w:r>
              <w:rPr>
                <w:b/>
                <w:i/>
                <w:sz w:val="21"/>
                <w:szCs w:val="21"/>
              </w:rPr>
            </w:r>
            <w:r>
              <w:rPr>
                <w:b/>
                <w:i/>
                <w:sz w:val="21"/>
                <w:szCs w:val="21"/>
              </w:rPr>
            </w:r>
            <w:r>
              <w:rPr>
                <w:b/>
                <w:i/>
                <w:sz w:val="21"/>
                <w:szCs w:val="21"/>
              </w:rPr>
            </w:r>
          </w:p>
          <w:p>
            <w:pPr>
              <w:ind w:right="57"/>
              <w:jc w:val="both"/>
              <w:rPr>
                <w:bCs/>
                <w:iCs/>
                <w:sz w:val="21"/>
                <w:szCs w:val="21"/>
              </w:rPr>
              <w:outlineLvl w:val="3"/>
            </w:pPr>
            <w:r>
              <w:rPr>
                <w:bCs/>
                <w:iCs/>
                <w:sz w:val="21"/>
                <w:szCs w:val="21"/>
              </w:rPr>
              <w:t xml:space="preserve">2.5. Повестка дня общего собрания акционеров эмитента:</w:t>
            </w:r>
            <w:r>
              <w:rPr>
                <w:bCs/>
                <w:iCs/>
                <w:sz w:val="21"/>
                <w:szCs w:val="21"/>
              </w:rPr>
            </w:r>
            <w:r>
              <w:rPr>
                <w:bCs/>
                <w:iCs/>
                <w:sz w:val="21"/>
                <w:szCs w:val="21"/>
              </w:rPr>
            </w:r>
          </w:p>
          <w:p>
            <w:pPr>
              <w:pStyle w:val="908"/>
              <w:numPr>
                <w:ilvl w:val="0"/>
                <w:numId w:val="14"/>
              </w:numPr>
              <w:ind w:left="360" w:right="0"/>
              <w:spacing w:after="0" w:afterAutospacing="0" w:line="240" w:lineRule="auto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Об утверждении годового отчета ПАО «ОГК-2» за 2025 год.</w:t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pStyle w:val="908"/>
              <w:numPr>
                <w:ilvl w:val="0"/>
                <w:numId w:val="14"/>
              </w:numPr>
              <w:ind w:left="360" w:right="0"/>
              <w:spacing w:after="0" w:afterAutospacing="0" w:line="240" w:lineRule="auto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Об утверждении годовой бухгалтерской (финансовой) отчетности ПАО «ОГК-2» за 2025 год.</w:t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pStyle w:val="908"/>
              <w:numPr>
                <w:ilvl w:val="0"/>
                <w:numId w:val="14"/>
              </w:numPr>
              <w:ind w:left="360" w:right="0"/>
              <w:spacing w:after="0" w:afterAutospacing="0" w:line="240" w:lineRule="auto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О распределении прибыли (в том числе выплате (объявлении) дивидендов) и убытков  ПАО «ОГК-2» по результатам 2025 года.</w:t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pStyle w:val="908"/>
              <w:numPr>
                <w:ilvl w:val="0"/>
                <w:numId w:val="14"/>
              </w:numPr>
              <w:ind w:left="360" w:right="0"/>
              <w:spacing w:after="0" w:afterAutospacing="0" w:line="240" w:lineRule="auto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Об определении количественного состава Совета директоров ПАО «ОГК-2»</w:t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pStyle w:val="908"/>
              <w:numPr>
                <w:ilvl w:val="0"/>
                <w:numId w:val="14"/>
              </w:numPr>
              <w:ind w:left="360" w:right="0"/>
              <w:spacing w:after="0" w:afterAutospacing="0" w:line="240" w:lineRule="auto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Об избрании членов Совета директоров ПАО «ОГК-2» в количестве 9 человек.</w:t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pStyle w:val="908"/>
              <w:numPr>
                <w:ilvl w:val="0"/>
                <w:numId w:val="14"/>
              </w:numPr>
              <w:ind w:left="360" w:right="0"/>
              <w:spacing w:after="0" w:afterAutospacing="0" w:line="240" w:lineRule="auto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Об избрании членов Совета директоров ПАО «ОГК-2» в количестве 11 человек.</w:t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pStyle w:val="908"/>
              <w:numPr>
                <w:ilvl w:val="0"/>
                <w:numId w:val="14"/>
              </w:numPr>
              <w:ind w:left="360" w:right="0"/>
              <w:spacing w:after="0" w:afterAutospacing="0" w:line="240" w:lineRule="auto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Об утверждении Устава ПАО «ОГК-2» в новой редакции.</w:t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pStyle w:val="908"/>
              <w:numPr>
                <w:ilvl w:val="0"/>
                <w:numId w:val="14"/>
              </w:numPr>
              <w:ind w:left="360" w:right="0"/>
              <w:spacing w:after="0" w:afterAutospacing="0" w:line="240" w:lineRule="auto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Об утверждении внутренних документов, регулирующих деятельность органов ПАО «ОГК-2», в новой редакции.</w:t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pStyle w:val="908"/>
              <w:numPr>
                <w:ilvl w:val="0"/>
                <w:numId w:val="14"/>
              </w:numPr>
              <w:ind w:left="360" w:right="57"/>
              <w:jc w:val="both"/>
              <w:spacing w:after="0" w:afterAutospacing="0" w:line="240" w:lineRule="auto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outlineLvl w:val="3"/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О назначении аудиторской организации ПАО «ОГК-2».</w:t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ind w:right="57"/>
              <w:jc w:val="both"/>
              <w:rPr>
                <w:iCs/>
                <w:sz w:val="21"/>
                <w:szCs w:val="21"/>
              </w:rPr>
              <w:outlineLvl w:val="3"/>
            </w:pPr>
            <w:r>
              <w:rPr>
                <w:bCs/>
                <w:iCs/>
                <w:sz w:val="21"/>
                <w:szCs w:val="21"/>
              </w:rPr>
            </w:r>
            <w:r>
              <w:rPr>
                <w:iCs/>
                <w:sz w:val="21"/>
                <w:szCs w:val="21"/>
              </w:rPr>
            </w:r>
            <w:r>
              <w:rPr>
                <w:iCs/>
                <w:sz w:val="21"/>
                <w:szCs w:val="21"/>
              </w:rPr>
            </w:r>
          </w:p>
          <w:p>
            <w:pPr>
              <w:ind w:right="57"/>
              <w:jc w:val="both"/>
              <w:rPr>
                <w:bCs/>
                <w:iCs/>
                <w:sz w:val="21"/>
                <w:szCs w:val="21"/>
              </w:rPr>
              <w:outlineLvl w:val="3"/>
            </w:pPr>
            <w:r>
              <w:rPr>
                <w:bCs/>
                <w:iCs/>
                <w:sz w:val="21"/>
                <w:szCs w:val="21"/>
              </w:rPr>
              <w:t xml:space="preserve"> 2.6. Результаты голосования по вопросам повестки дня общего собрания акционеров эмитента, по которым имелся кворум, и </w:t>
            </w:r>
            <w:r>
              <w:rPr>
                <w:bCs/>
                <w:iCs/>
                <w:sz w:val="21"/>
                <w:szCs w:val="21"/>
              </w:rPr>
              <w:t xml:space="preserve">формулировки решений, принятых О</w:t>
            </w:r>
            <w:r>
              <w:rPr>
                <w:bCs/>
                <w:iCs/>
                <w:sz w:val="21"/>
                <w:szCs w:val="21"/>
              </w:rPr>
              <w:t xml:space="preserve">бщим собранием акционеров эмитента по указанным вопросам:</w:t>
            </w:r>
            <w:r>
              <w:rPr>
                <w:bCs/>
                <w:iCs/>
                <w:sz w:val="21"/>
                <w:szCs w:val="21"/>
              </w:rPr>
            </w:r>
            <w:r>
              <w:rPr>
                <w:bCs/>
                <w:iCs/>
                <w:sz w:val="21"/>
                <w:szCs w:val="21"/>
              </w:rPr>
            </w:r>
          </w:p>
          <w:p>
            <w:pPr>
              <w:ind w:right="57"/>
              <w:jc w:val="both"/>
              <w:rPr>
                <w:bCs/>
                <w:iCs/>
                <w:sz w:val="21"/>
                <w:szCs w:val="21"/>
              </w:rPr>
              <w:outlineLvl w:val="3"/>
            </w:pPr>
            <w:r>
              <w:rPr>
                <w:bCs/>
                <w:iCs/>
                <w:sz w:val="21"/>
                <w:szCs w:val="21"/>
              </w:rPr>
            </w:r>
            <w:r>
              <w:rPr>
                <w:bCs/>
                <w:iCs/>
                <w:sz w:val="21"/>
                <w:szCs w:val="21"/>
              </w:rPr>
            </w:r>
            <w:r>
              <w:rPr>
                <w:bCs/>
                <w:iCs/>
                <w:sz w:val="21"/>
                <w:szCs w:val="21"/>
              </w:rPr>
            </w:r>
          </w:p>
          <w:p>
            <w:pPr>
              <w:pStyle w:val="904"/>
              <w:ind w:right="57"/>
              <w:jc w:val="both"/>
              <w:widowControl w:val="off"/>
              <w:rPr>
                <w:b/>
                <w:bCs/>
                <w:i/>
                <w:color w:val="000000" w:themeColor="text1"/>
                <w:sz w:val="21"/>
                <w:szCs w:val="21"/>
              </w:rPr>
            </w:pPr>
            <w:r>
              <w:rPr>
                <w:b/>
                <w:bCs/>
                <w:i/>
                <w:color w:val="000000" w:themeColor="text1"/>
                <w:sz w:val="21"/>
                <w:szCs w:val="21"/>
              </w:rPr>
              <w:t xml:space="preserve">Результаты голосования по вопросу № 1 повестки дня:</w:t>
            </w:r>
            <w:r>
              <w:rPr>
                <w:b/>
                <w:bCs/>
                <w:i/>
                <w:color w:val="000000" w:themeColor="text1"/>
                <w:sz w:val="21"/>
                <w:szCs w:val="21"/>
              </w:rPr>
            </w:r>
            <w:r>
              <w:rPr>
                <w:b/>
                <w:bCs/>
                <w:i/>
                <w:color w:val="000000" w:themeColor="text1"/>
                <w:sz w:val="21"/>
                <w:szCs w:val="21"/>
              </w:rPr>
            </w:r>
          </w:p>
          <w:tbl>
            <w:tblPr>
              <w:tblW w:w="0" w:type="auto"/>
              <w:tblCellSpacing w:w="0" w:type="dxa"/>
              <w:tblLayout w:type="fixed"/>
              <w:tblLook w:val="04A0" w:firstRow="1" w:lastRow="0" w:firstColumn="1" w:lastColumn="0" w:noHBand="0" w:noVBand="1"/>
            </w:tblPr>
            <w:tblGrid>
              <w:gridCol w:w="828"/>
              <w:gridCol w:w="2340"/>
              <w:gridCol w:w="3060"/>
              <w:gridCol w:w="3060"/>
            </w:tblGrid>
            <w:tr>
              <w:tblPrEx/>
              <w:trPr>
                <w:tblCellSpacing w:w="0" w:type="dxa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28" w:type="dxa"/>
                  <w:vAlign w:val="center"/>
                  <w:textDirection w:val="lrTb"/>
                  <w:noWrap w:val="false"/>
                </w:tcPr>
                <w:p>
                  <w:pPr>
                    <w:ind w:right="57"/>
                    <w:jc w:val="both"/>
                    <w:rPr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color w:val="000000" w:themeColor="text1"/>
                      <w:sz w:val="21"/>
                      <w:szCs w:val="21"/>
                    </w:rPr>
                    <w:t xml:space="preserve"> </w:t>
                  </w:r>
                  <w:r>
                    <w:rPr>
                      <w:color w:val="000000" w:themeColor="text1"/>
                      <w:sz w:val="21"/>
                      <w:szCs w:val="21"/>
                    </w:rPr>
                  </w:r>
                  <w:r>
                    <w:rPr>
                      <w:color w:val="000000" w:themeColor="text1"/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340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jc w:val="both"/>
                  </w:pPr>
                  <w:r>
                    <w:rPr>
                      <w:sz w:val="21"/>
                      <w:szCs w:val="21"/>
                    </w:rPr>
                    <w:t xml:space="preserve">«ЗА»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89 526 594 935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 (99,9833%)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</w:tr>
            <w:tr>
              <w:tblPrEx/>
              <w:trPr>
                <w:tblCellSpacing w:w="0" w:type="dxa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28" w:type="dxa"/>
                  <w:vAlign w:val="center"/>
                  <w:textDirection w:val="lrTb"/>
                  <w:noWrap w:val="false"/>
                </w:tcPr>
                <w:p>
                  <w:pPr>
                    <w:ind w:right="57"/>
                    <w:jc w:val="both"/>
                    <w:rPr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color w:val="000000" w:themeColor="text1"/>
                      <w:sz w:val="21"/>
                      <w:szCs w:val="21"/>
                    </w:rPr>
                    <w:t xml:space="preserve"> </w:t>
                  </w:r>
                  <w:r>
                    <w:rPr>
                      <w:color w:val="000000" w:themeColor="text1"/>
                      <w:sz w:val="21"/>
                      <w:szCs w:val="21"/>
                    </w:rPr>
                  </w:r>
                  <w:r>
                    <w:rPr>
                      <w:color w:val="000000" w:themeColor="text1"/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340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jc w:val="both"/>
                  </w:pPr>
                  <w:r>
                    <w:rPr>
                      <w:sz w:val="21"/>
                      <w:szCs w:val="21"/>
                    </w:rPr>
                    <w:t xml:space="preserve">«ПРОТИВ»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1 561 972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 (0,0017%)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</w:tr>
            <w:tr>
              <w:tblPrEx/>
              <w:trPr>
                <w:tblCellSpacing w:w="0" w:type="dxa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28" w:type="dxa"/>
                  <w:vAlign w:val="center"/>
                  <w:textDirection w:val="lrTb"/>
                  <w:noWrap w:val="false"/>
                </w:tcPr>
                <w:p>
                  <w:pPr>
                    <w:ind w:right="57"/>
                    <w:jc w:val="both"/>
                    <w:rPr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color w:val="000000" w:themeColor="text1"/>
                      <w:sz w:val="21"/>
                      <w:szCs w:val="21"/>
                    </w:rPr>
                    <w:t xml:space="preserve"> </w:t>
                  </w:r>
                  <w:r>
                    <w:rPr>
                      <w:color w:val="000000" w:themeColor="text1"/>
                      <w:sz w:val="21"/>
                      <w:szCs w:val="21"/>
                    </w:rPr>
                  </w:r>
                  <w:r>
                    <w:rPr>
                      <w:color w:val="000000" w:themeColor="text1"/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340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jc w:val="both"/>
                  </w:pPr>
                  <w:r>
                    <w:rPr>
                      <w:sz w:val="21"/>
                      <w:szCs w:val="21"/>
                    </w:rPr>
                    <w:t xml:space="preserve">«ВОЗДЕРЖАЛСЯ»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13 410 415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05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 (0,0150%)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</w:tr>
          </w:tbl>
          <w:p>
            <w:pPr>
              <w:pStyle w:val="904"/>
              <w:ind w:right="57"/>
              <w:jc w:val="both"/>
              <w:widowControl w:val="off"/>
              <w:rPr>
                <w:b/>
                <w:bCs/>
                <w:i/>
                <w:color w:val="000000" w:themeColor="text1"/>
                <w:sz w:val="21"/>
                <w:szCs w:val="21"/>
              </w:rPr>
            </w:pPr>
            <w:r>
              <w:rPr>
                <w:b/>
                <w:bCs/>
                <w:i/>
                <w:color w:val="000000" w:themeColor="text1"/>
                <w:sz w:val="21"/>
                <w:szCs w:val="21"/>
              </w:rPr>
            </w:r>
            <w:r>
              <w:rPr>
                <w:b/>
                <w:bCs/>
                <w:i/>
                <w:color w:val="000000" w:themeColor="text1"/>
                <w:sz w:val="21"/>
                <w:szCs w:val="21"/>
              </w:rPr>
            </w:r>
            <w:r>
              <w:rPr>
                <w:b/>
                <w:bCs/>
                <w:i/>
                <w:color w:val="000000" w:themeColor="text1"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Число голосов по вопросу № 1 повестки Собрания, поставленному на голосование, которые не подсчитывались в связи с признанием бюллетеней для голосования недействительными или по иным основаниям составило: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0 (0,0000%).</w:t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Формулировка решения по вопросу № 1 повестки дня, принятого Собранием: </w:t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ff0000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sz w:val="21"/>
                <w:szCs w:val="21"/>
              </w:rPr>
              <w:t xml:space="preserve">Утвердить годовой отчет ПАО «ОГК-2» за 2025 год в соответствии с Приложением № 1 (проект документа включен в состав информации (материалов), предоставляемой лицам, имеющим право голоса при принятии решений Общим собранием акционеров).</w:t>
            </w:r>
            <w:r>
              <w:rPr>
                <w:rFonts w:ascii="Liberation Serif" w:hAnsi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pStyle w:val="904"/>
              <w:ind w:right="57"/>
              <w:jc w:val="both"/>
              <w:widowControl w:val="off"/>
              <w:rPr>
                <w:b/>
                <w:bCs/>
                <w:i/>
                <w:sz w:val="21"/>
                <w:szCs w:val="21"/>
              </w:rPr>
            </w:pPr>
            <w:r>
              <w:rPr>
                <w:b/>
                <w:bCs/>
                <w:i/>
                <w:sz w:val="21"/>
                <w:szCs w:val="21"/>
              </w:rPr>
              <w:t xml:space="preserve">Результаты голосования по вопросу № 2 повестки дня:</w:t>
            </w:r>
            <w:r>
              <w:rPr>
                <w:b/>
                <w:bCs/>
                <w:i/>
                <w:sz w:val="21"/>
                <w:szCs w:val="21"/>
              </w:rPr>
            </w:r>
            <w:r>
              <w:rPr>
                <w:b/>
                <w:bCs/>
                <w:i/>
                <w:sz w:val="21"/>
                <w:szCs w:val="21"/>
              </w:rPr>
            </w:r>
          </w:p>
          <w:tbl>
            <w:tblPr>
              <w:tblW w:w="0" w:type="auto"/>
              <w:tblCellSpacing w:w="0" w:type="dxa"/>
              <w:tblLayout w:type="fixed"/>
              <w:tblLook w:val="04A0" w:firstRow="1" w:lastRow="0" w:firstColumn="1" w:lastColumn="0" w:noHBand="0" w:noVBand="1"/>
            </w:tblPr>
            <w:tblGrid>
              <w:gridCol w:w="828"/>
              <w:gridCol w:w="2340"/>
              <w:gridCol w:w="3060"/>
              <w:gridCol w:w="3060"/>
            </w:tblGrid>
            <w:tr>
              <w:tblPrEx/>
              <w:trPr>
                <w:tblCellSpacing w:w="0" w:type="dxa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28" w:type="dxa"/>
                  <w:vAlign w:val="center"/>
                  <w:textDirection w:val="lrTb"/>
                  <w:noWrap w:val="false"/>
                </w:tcPr>
                <w:p>
                  <w:pPr>
                    <w:ind w:right="57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 </w: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340" w:type="dxa"/>
                  <w:vAlign w:val="center"/>
                  <w:textDirection w:val="lrTb"/>
                  <w:noWrap w:val="false"/>
                </w:tcPr>
                <w:p>
                  <w:pPr>
                    <w:pStyle w:val="919"/>
                    <w:jc w:val="both"/>
                  </w:pPr>
                  <w:r>
                    <w:rPr>
                      <w:sz w:val="21"/>
                      <w:szCs w:val="21"/>
                    </w:rPr>
                    <w:t xml:space="preserve">«ЗА»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19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89 526 506 836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19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 (99,9832%)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</w:tr>
            <w:tr>
              <w:tblPrEx/>
              <w:trPr>
                <w:tblCellSpacing w:w="0" w:type="dxa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28" w:type="dxa"/>
                  <w:vAlign w:val="center"/>
                  <w:textDirection w:val="lrTb"/>
                  <w:noWrap w:val="false"/>
                </w:tcPr>
                <w:p>
                  <w:pPr>
                    <w:ind w:right="57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 </w: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340" w:type="dxa"/>
                  <w:vAlign w:val="center"/>
                  <w:textDirection w:val="lrTb"/>
                  <w:noWrap w:val="false"/>
                </w:tcPr>
                <w:p>
                  <w:pPr>
                    <w:pStyle w:val="919"/>
                    <w:jc w:val="both"/>
                  </w:pPr>
                  <w:r>
                    <w:rPr>
                      <w:sz w:val="21"/>
                      <w:szCs w:val="21"/>
                    </w:rPr>
                    <w:t xml:space="preserve">«ПРОТИВ»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19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1 654 968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19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 (0,0018%)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</w:tr>
            <w:tr>
              <w:tblPrEx/>
              <w:trPr>
                <w:tblCellSpacing w:w="0" w:type="dxa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28" w:type="dxa"/>
                  <w:vAlign w:val="center"/>
                  <w:textDirection w:val="lrTb"/>
                  <w:noWrap w:val="false"/>
                </w:tcPr>
                <w:p>
                  <w:pPr>
                    <w:ind w:right="57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 </w: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340" w:type="dxa"/>
                  <w:vAlign w:val="center"/>
                  <w:textDirection w:val="lrTb"/>
                  <w:noWrap w:val="false"/>
                </w:tcPr>
                <w:p>
                  <w:pPr>
                    <w:pStyle w:val="919"/>
                    <w:jc w:val="both"/>
                  </w:pPr>
                  <w:r>
                    <w:rPr>
                      <w:sz w:val="21"/>
                      <w:szCs w:val="21"/>
                    </w:rPr>
                    <w:t xml:space="preserve">«ВОЗДЕРЖАЛСЯ»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19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13 405 518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19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 (0,0150%)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</w:tr>
          </w:tbl>
          <w:p>
            <w:pPr>
              <w:pStyle w:val="904"/>
              <w:ind w:right="57"/>
              <w:jc w:val="both"/>
              <w:widowControl w:val="off"/>
              <w:rPr>
                <w:b/>
                <w:bCs/>
                <w:i/>
                <w:sz w:val="21"/>
                <w:szCs w:val="21"/>
              </w:rPr>
            </w:pPr>
            <w:r>
              <w:rPr>
                <w:b/>
                <w:bCs/>
                <w:i/>
                <w:sz w:val="21"/>
                <w:szCs w:val="21"/>
              </w:rPr>
            </w:r>
            <w:r>
              <w:rPr>
                <w:b/>
                <w:bCs/>
                <w:i/>
                <w:sz w:val="21"/>
                <w:szCs w:val="21"/>
              </w:rPr>
            </w:r>
            <w:r>
              <w:rPr>
                <w:b/>
                <w:bCs/>
                <w:i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Число голосов по вопросу № 2 повестки Собрания, поставленному на голосование, которые не подсчитывались в связи с признанием бюллетеней для голосования недействительными или по иным основаниям составило: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0 (0,0000%).</w:t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Формулировка решения по вопросу № 2 повестки дня, принятого Собранием: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ff0000"/>
                <w:sz w:val="21"/>
                <w:szCs w:val="21"/>
                <w:highlight w:val="none"/>
              </w:rPr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Утвердить г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одовую бухгалтерскую (финансовую) отчетность ПАО «ОГК-2» за 2025 год в соответствии с Приложением № 2 (проект документа включен в состав информации (материалов), предоставляемой лицам, имеющим право голоса при принятии решений Общим собранием акционеров).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pStyle w:val="904"/>
              <w:ind w:right="57"/>
              <w:jc w:val="both"/>
              <w:widowControl w:val="off"/>
              <w:rPr>
                <w:b/>
                <w:bCs/>
                <w:i/>
                <w:sz w:val="21"/>
                <w:szCs w:val="21"/>
              </w:rPr>
            </w:pPr>
            <w:r>
              <w:rPr>
                <w:b/>
                <w:bCs/>
                <w:i/>
                <w:sz w:val="21"/>
                <w:szCs w:val="21"/>
              </w:rPr>
              <w:t xml:space="preserve">Результаты голосования по вопросу № 3 повестки дня:</w:t>
            </w:r>
            <w:r>
              <w:rPr>
                <w:b/>
                <w:bCs/>
                <w:i/>
                <w:sz w:val="21"/>
                <w:szCs w:val="21"/>
              </w:rPr>
            </w:r>
            <w:r>
              <w:rPr>
                <w:b/>
                <w:bCs/>
                <w:i/>
                <w:sz w:val="21"/>
                <w:szCs w:val="21"/>
              </w:rPr>
            </w:r>
          </w:p>
          <w:tbl>
            <w:tblPr>
              <w:tblW w:w="0" w:type="auto"/>
              <w:tblCellSpacing w:w="0" w:type="dxa"/>
              <w:tblLayout w:type="fixed"/>
              <w:tblLook w:val="04A0" w:firstRow="1" w:lastRow="0" w:firstColumn="1" w:lastColumn="0" w:noHBand="0" w:noVBand="1"/>
            </w:tblPr>
            <w:tblGrid>
              <w:gridCol w:w="828"/>
              <w:gridCol w:w="2340"/>
              <w:gridCol w:w="3060"/>
              <w:gridCol w:w="3060"/>
            </w:tblGrid>
            <w:tr>
              <w:tblPrEx/>
              <w:trPr>
                <w:tblCellSpacing w:w="0" w:type="dxa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28" w:type="dxa"/>
                  <w:vAlign w:val="center"/>
                  <w:textDirection w:val="lrTb"/>
                  <w:noWrap w:val="false"/>
                </w:tcPr>
                <w:p>
                  <w:pPr>
                    <w:ind w:right="57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 </w: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340" w:type="dxa"/>
                  <w:vAlign w:val="center"/>
                  <w:textDirection w:val="lrTb"/>
                  <w:noWrap w:val="false"/>
                </w:tcPr>
                <w:p>
                  <w:pPr>
                    <w:pStyle w:val="920"/>
                    <w:jc w:val="both"/>
                  </w:pPr>
                  <w:r>
                    <w:rPr>
                      <w:sz w:val="21"/>
                      <w:szCs w:val="21"/>
                    </w:rPr>
                    <w:t xml:space="preserve">«ЗА»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0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89 411 706 347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0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 (99,8550%)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</w:tr>
            <w:tr>
              <w:tblPrEx/>
              <w:trPr>
                <w:tblCellSpacing w:w="0" w:type="dxa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28" w:type="dxa"/>
                  <w:vAlign w:val="center"/>
                  <w:textDirection w:val="lrTb"/>
                  <w:noWrap w:val="false"/>
                </w:tcPr>
                <w:p>
                  <w:pPr>
                    <w:ind w:right="57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 </w: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340" w:type="dxa"/>
                  <w:vAlign w:val="center"/>
                  <w:textDirection w:val="lrTb"/>
                  <w:noWrap w:val="false"/>
                </w:tcPr>
                <w:p>
                  <w:pPr>
                    <w:pStyle w:val="920"/>
                    <w:jc w:val="both"/>
                  </w:pPr>
                  <w:r>
                    <w:rPr>
                      <w:sz w:val="21"/>
                      <w:szCs w:val="21"/>
                    </w:rPr>
                    <w:t xml:space="preserve">«ПРОТИВ»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0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6 383 614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0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 (0,0071%)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</w:tr>
            <w:tr>
              <w:tblPrEx/>
              <w:trPr>
                <w:tblCellSpacing w:w="0" w:type="dxa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28" w:type="dxa"/>
                  <w:vAlign w:val="center"/>
                  <w:textDirection w:val="lrTb"/>
                  <w:noWrap w:val="false"/>
                </w:tcPr>
                <w:p>
                  <w:pPr>
                    <w:ind w:right="57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 </w: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340" w:type="dxa"/>
                  <w:vAlign w:val="center"/>
                  <w:textDirection w:val="lrTb"/>
                  <w:noWrap w:val="false"/>
                </w:tcPr>
                <w:p>
                  <w:pPr>
                    <w:pStyle w:val="920"/>
                    <w:jc w:val="both"/>
                  </w:pPr>
                  <w:r>
                    <w:rPr>
                      <w:sz w:val="21"/>
                      <w:szCs w:val="21"/>
                    </w:rPr>
                    <w:t xml:space="preserve">«ВОЗДЕРЖАЛСЯ»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0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123 477 361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0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 (0,1379%)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</w:tr>
          </w:tbl>
          <w:p>
            <w:pPr>
              <w:pStyle w:val="904"/>
              <w:ind w:right="57"/>
              <w:jc w:val="both"/>
              <w:widowControl w:val="off"/>
              <w:rPr>
                <w:b/>
                <w:bCs/>
                <w:i/>
                <w:sz w:val="21"/>
                <w:szCs w:val="21"/>
              </w:rPr>
            </w:pPr>
            <w:r>
              <w:rPr>
                <w:b/>
                <w:bCs/>
                <w:i/>
                <w:sz w:val="21"/>
                <w:szCs w:val="21"/>
              </w:rPr>
            </w:r>
            <w:r>
              <w:rPr>
                <w:b/>
                <w:bCs/>
                <w:i/>
                <w:sz w:val="21"/>
                <w:szCs w:val="21"/>
              </w:rPr>
            </w:r>
            <w:r>
              <w:rPr>
                <w:b/>
                <w:bCs/>
                <w:i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Число голосов по вопросу № 3 повестки Собрания, поставленному на голосование, которые не подсчитывались в связи с признанием бюллетеней для голосования недействительными или по иным основаниям составило: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0 (0,0000%).</w:t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Ф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ормулировка решения по вопросу № 3 повестки дня, принятого Собранием: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sz w:val="21"/>
                <w:szCs w:val="21"/>
                <w:highlight w:val="none"/>
              </w:rPr>
            </w:r>
          </w:p>
          <w:p>
            <w:pPr>
              <w:pStyle w:val="920"/>
              <w:ind w:left="0"/>
              <w:jc w:val="both"/>
              <w:spacing w:before="0" w:beforeAutospacing="0" w:after="0" w:afterAutospacing="0"/>
              <w:rPr>
                <w:i/>
                <w:iCs/>
              </w:rPr>
              <w:outlineLvl w:val="0"/>
            </w:pPr>
            <w:r>
              <w:rPr>
                <w:b/>
                <w:bCs/>
                <w:i/>
                <w:iCs/>
                <w:sz w:val="21"/>
                <w:szCs w:val="21"/>
              </w:rPr>
              <w:t xml:space="preserve">1. Утвердить следующее распределение прибыли (убытков) Общества за 2025 год:</w:t>
            </w:r>
            <w:r>
              <w:rPr>
                <w:b/>
                <w:bCs/>
                <w:i/>
                <w:iCs/>
                <w:sz w:val="21"/>
                <w:szCs w:val="21"/>
              </w:rPr>
            </w:r>
            <w:r>
              <w:rPr>
                <w:i/>
                <w:iCs/>
              </w:rPr>
            </w:r>
          </w:p>
          <w:tbl>
            <w:tblPr>
              <w:tblW w:w="5637" w:type="dxa"/>
              <w:tblInd w:w="357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1E0" w:firstRow="1" w:lastRow="1" w:firstColumn="1" w:lastColumn="1" w:noHBand="0" w:noVBand="0"/>
            </w:tblPr>
            <w:tblGrid>
              <w:gridCol w:w="3828"/>
              <w:gridCol w:w="1809"/>
            </w:tblGrid>
            <w:tr>
              <w:tblPrEx/>
              <w:trPr>
                <w:trHeight w:val="2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828" w:type="dxa"/>
                  <w:vAlign w:val="top"/>
                  <w:textDirection w:val="lrTb"/>
                  <w:noWrap w:val="false"/>
                </w:tcPr>
                <w:p>
                  <w:pPr>
                    <w:pStyle w:val="921"/>
                    <w:jc w:val="center"/>
                    <w:spacing w:before="0" w:beforeAutospacing="0" w:after="0" w:afterAutospacing="0"/>
                    <w:rPr>
                      <w:b/>
                      <w:bCs/>
                      <w:i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i/>
                      <w:sz w:val="21"/>
                      <w:szCs w:val="21"/>
                      <w:lang w:val="en-US" w:eastAsia="en-US"/>
                    </w:rPr>
                    <w:t xml:space="preserve">Показатель</w:t>
                  </w:r>
                  <w:r>
                    <w:rPr>
                      <w:b/>
                      <w:bCs/>
                      <w:i/>
                      <w:sz w:val="21"/>
                      <w:szCs w:val="21"/>
                      <w:lang w:val="en-US" w:eastAsia="en-US"/>
                    </w:rPr>
                  </w:r>
                  <w:r>
                    <w:rPr>
                      <w:b/>
                      <w:bCs/>
                      <w:i/>
                      <w:sz w:val="14"/>
                      <w:szCs w:val="1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809" w:type="dxa"/>
                  <w:vAlign w:val="top"/>
                  <w:textDirection w:val="lrTb"/>
                  <w:noWrap w:val="false"/>
                </w:tcPr>
                <w:p>
                  <w:pPr>
                    <w:pStyle w:val="921"/>
                    <w:jc w:val="center"/>
                    <w:spacing w:before="0" w:beforeAutospacing="0" w:after="0" w:afterAutospacing="0"/>
                    <w:rPr>
                      <w:b/>
                      <w:bCs/>
                      <w:i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i/>
                      <w:sz w:val="21"/>
                      <w:szCs w:val="21"/>
                      <w:lang w:val="en-US" w:eastAsia="en-US"/>
                    </w:rPr>
                    <w:t xml:space="preserve">Сумма, тыс.руб.</w:t>
                  </w:r>
                  <w:r>
                    <w:rPr>
                      <w:b/>
                      <w:bCs/>
                      <w:i/>
                      <w:sz w:val="21"/>
                      <w:szCs w:val="21"/>
                      <w:lang w:val="en-US" w:eastAsia="en-US"/>
                    </w:rPr>
                  </w:r>
                  <w:r>
                    <w:rPr>
                      <w:b/>
                      <w:bCs/>
                      <w:i/>
                      <w:sz w:val="14"/>
                      <w:szCs w:val="14"/>
                    </w:rPr>
                  </w:r>
                </w:p>
              </w:tc>
            </w:tr>
            <w:tr>
              <w:tblPrEx/>
              <w:trPr>
                <w:trHeight w:val="238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828" w:type="dxa"/>
                  <w:vAlign w:val="top"/>
                  <w:textDirection w:val="lrTb"/>
                  <w:noWrap w:val="false"/>
                </w:tcPr>
                <w:p>
                  <w:pPr>
                    <w:pStyle w:val="921"/>
                    <w:jc w:val="both"/>
                    <w:spacing w:before="0" w:beforeAutospacing="0" w:after="0" w:afterAutospacing="0"/>
                    <w:rPr>
                      <w:b/>
                      <w:bCs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21"/>
                      <w:szCs w:val="21"/>
                      <w:lang w:val="en-US" w:eastAsia="en-US"/>
                    </w:rPr>
                    <w:t xml:space="preserve">Убыток отчетного периода:</w:t>
                  </w:r>
                  <w:r>
                    <w:rPr>
                      <w:b/>
                      <w:bCs/>
                      <w:sz w:val="21"/>
                      <w:szCs w:val="21"/>
                      <w:lang w:val="en-US" w:eastAsia="en-US"/>
                    </w:rPr>
                  </w:r>
                  <w:r>
                    <w:rPr>
                      <w:b/>
                      <w:bCs/>
                      <w:sz w:val="14"/>
                      <w:szCs w:val="1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809" w:type="dxa"/>
                  <w:vAlign w:val="top"/>
                  <w:textDirection w:val="lrTb"/>
                  <w:noWrap w:val="false"/>
                </w:tcPr>
                <w:p>
                  <w:pPr>
                    <w:pStyle w:val="921"/>
                    <w:jc w:val="right"/>
                    <w:spacing w:before="0" w:beforeAutospacing="0" w:after="0" w:afterAutospacing="0"/>
                    <w:rPr>
                      <w:b/>
                      <w:bCs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21"/>
                      <w:szCs w:val="21"/>
                      <w:lang w:val="en-US" w:eastAsia="en-US"/>
                    </w:rPr>
                    <w:t xml:space="preserve">1 378 760 </w:t>
                  </w:r>
                  <w:r>
                    <w:rPr>
                      <w:b/>
                      <w:bCs/>
                      <w:sz w:val="21"/>
                      <w:szCs w:val="21"/>
                      <w:lang w:val="en-US" w:eastAsia="en-US"/>
                    </w:rPr>
                  </w:r>
                  <w:r>
                    <w:rPr>
                      <w:b/>
                      <w:bCs/>
                      <w:sz w:val="14"/>
                      <w:szCs w:val="14"/>
                    </w:rPr>
                  </w:r>
                </w:p>
              </w:tc>
            </w:tr>
            <w:tr>
              <w:tblPrEx/>
              <w:trPr>
                <w:trHeight w:val="2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828" w:type="dxa"/>
                  <w:vAlign w:val="top"/>
                  <w:textDirection w:val="lrTb"/>
                  <w:noWrap w:val="false"/>
                </w:tcPr>
                <w:p>
                  <w:pPr>
                    <w:pStyle w:val="921"/>
                    <w:jc w:val="both"/>
                    <w:spacing w:before="0" w:beforeAutospacing="0" w:after="0" w:afterAutospacing="0"/>
                    <w:rPr>
                      <w:b/>
                      <w:bCs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21"/>
                      <w:szCs w:val="21"/>
                      <w:lang w:val="en-US" w:eastAsia="en-US"/>
                    </w:rPr>
                    <w:t xml:space="preserve">Прибыль к распределению:</w:t>
                  </w:r>
                  <w:r>
                    <w:rPr>
                      <w:b/>
                      <w:bCs/>
                      <w:sz w:val="21"/>
                      <w:szCs w:val="21"/>
                      <w:lang w:val="en-US" w:eastAsia="en-US"/>
                    </w:rPr>
                  </w:r>
                  <w:r>
                    <w:rPr>
                      <w:b/>
                      <w:bCs/>
                      <w:sz w:val="14"/>
                      <w:szCs w:val="1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809" w:type="dxa"/>
                  <w:vAlign w:val="bottom"/>
                  <w:textDirection w:val="lrTb"/>
                  <w:noWrap w:val="false"/>
                </w:tcPr>
                <w:p>
                  <w:pPr>
                    <w:pStyle w:val="921"/>
                    <w:jc w:val="right"/>
                    <w:spacing w:before="0" w:beforeAutospacing="0" w:after="0" w:afterAutospacing="0"/>
                    <w:rPr>
                      <w:b/>
                      <w:bCs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21"/>
                      <w:szCs w:val="21"/>
                      <w:lang w:val="en-US" w:eastAsia="en-US"/>
                    </w:rPr>
                    <w:t xml:space="preserve">0</w:t>
                  </w:r>
                  <w:r>
                    <w:rPr>
                      <w:b/>
                      <w:bCs/>
                      <w:sz w:val="21"/>
                      <w:szCs w:val="21"/>
                      <w:lang w:val="en-US" w:eastAsia="en-US"/>
                    </w:rPr>
                  </w:r>
                  <w:r>
                    <w:rPr>
                      <w:b/>
                      <w:bCs/>
                      <w:sz w:val="14"/>
                      <w:szCs w:val="14"/>
                    </w:rPr>
                  </w:r>
                </w:p>
              </w:tc>
            </w:tr>
            <w:tr>
              <w:tblPrEx/>
              <w:trPr>
                <w:trHeight w:val="102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828" w:type="dxa"/>
                  <w:vAlign w:val="top"/>
                  <w:textDirection w:val="lrTb"/>
                  <w:noWrap w:val="false"/>
                </w:tcPr>
                <w:p>
                  <w:pPr>
                    <w:pStyle w:val="921"/>
                    <w:jc w:val="right"/>
                    <w:spacing w:before="0" w:beforeAutospacing="0" w:after="0" w:afterAutospacing="0"/>
                    <w:rPr>
                      <w:b/>
                      <w:bCs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21"/>
                      <w:szCs w:val="21"/>
                      <w:lang w:val="en-US" w:eastAsia="en-US"/>
                    </w:rPr>
                    <w:t xml:space="preserve">- резервный фонд</w:t>
                  </w:r>
                  <w:r>
                    <w:rPr>
                      <w:b/>
                      <w:bCs/>
                      <w:sz w:val="21"/>
                      <w:szCs w:val="21"/>
                      <w:lang w:val="en-US" w:eastAsia="en-US"/>
                    </w:rPr>
                  </w:r>
                  <w:r>
                    <w:rPr>
                      <w:b/>
                      <w:bCs/>
                      <w:sz w:val="14"/>
                      <w:szCs w:val="1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809" w:type="dxa"/>
                  <w:vAlign w:val="bottom"/>
                  <w:textDirection w:val="lrTb"/>
                  <w:noWrap w:val="false"/>
                </w:tcPr>
                <w:p>
                  <w:pPr>
                    <w:pStyle w:val="921"/>
                    <w:jc w:val="right"/>
                    <w:spacing w:before="0" w:beforeAutospacing="0" w:after="0" w:afterAutospacing="0"/>
                    <w:rPr>
                      <w:b/>
                      <w:bCs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21"/>
                      <w:szCs w:val="21"/>
                      <w:lang w:val="en-US" w:eastAsia="en-US"/>
                    </w:rPr>
                    <w:t xml:space="preserve">0</w:t>
                  </w:r>
                  <w:r>
                    <w:rPr>
                      <w:b/>
                      <w:bCs/>
                      <w:sz w:val="21"/>
                      <w:szCs w:val="21"/>
                      <w:lang w:val="en-US" w:eastAsia="en-US"/>
                    </w:rPr>
                  </w:r>
                  <w:r>
                    <w:rPr>
                      <w:b/>
                      <w:bCs/>
                      <w:sz w:val="14"/>
                      <w:szCs w:val="14"/>
                    </w:rPr>
                  </w:r>
                </w:p>
              </w:tc>
            </w:tr>
            <w:tr>
              <w:tblPrEx/>
              <w:trPr>
                <w:trHeight w:val="134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828" w:type="dxa"/>
                  <w:vAlign w:val="top"/>
                  <w:textDirection w:val="lrTb"/>
                  <w:noWrap w:val="false"/>
                </w:tcPr>
                <w:p>
                  <w:pPr>
                    <w:pStyle w:val="921"/>
                    <w:jc w:val="right"/>
                    <w:spacing w:before="0" w:beforeAutospacing="0" w:after="0" w:afterAutospacing="0"/>
                    <w:rPr>
                      <w:b/>
                      <w:bCs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21"/>
                      <w:szCs w:val="21"/>
                      <w:lang w:val="en-US" w:eastAsia="en-US"/>
                    </w:rPr>
                    <w:t xml:space="preserve"> - на выплату дивидендов</w:t>
                  </w:r>
                  <w:r>
                    <w:rPr>
                      <w:b/>
                      <w:bCs/>
                      <w:sz w:val="21"/>
                      <w:szCs w:val="21"/>
                      <w:lang w:val="en-US" w:eastAsia="en-US"/>
                    </w:rPr>
                  </w:r>
                  <w:r>
                    <w:rPr>
                      <w:b/>
                      <w:bCs/>
                      <w:sz w:val="14"/>
                      <w:szCs w:val="1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809" w:type="dxa"/>
                  <w:vAlign w:val="bottom"/>
                  <w:textDirection w:val="lrTb"/>
                  <w:noWrap w:val="false"/>
                </w:tcPr>
                <w:p>
                  <w:pPr>
                    <w:pStyle w:val="921"/>
                    <w:jc w:val="right"/>
                    <w:spacing w:before="0" w:beforeAutospacing="0" w:after="0" w:afterAutospacing="0"/>
                    <w:rPr>
                      <w:b/>
                      <w:bCs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21"/>
                      <w:szCs w:val="21"/>
                      <w:lang w:val="en-US" w:eastAsia="en-US"/>
                    </w:rPr>
                    <w:t xml:space="preserve">0</w:t>
                  </w:r>
                  <w:r>
                    <w:rPr>
                      <w:b/>
                      <w:bCs/>
                      <w:sz w:val="21"/>
                      <w:szCs w:val="21"/>
                      <w:lang w:val="en-US" w:eastAsia="en-US"/>
                    </w:rPr>
                  </w:r>
                  <w:r>
                    <w:rPr>
                      <w:b/>
                      <w:bCs/>
                      <w:sz w:val="14"/>
                      <w:szCs w:val="14"/>
                    </w:rPr>
                  </w:r>
                </w:p>
              </w:tc>
            </w:tr>
          </w:tbl>
          <w:p>
            <w:pPr>
              <w:pStyle w:val="920"/>
              <w:ind w:left="0"/>
              <w:jc w:val="both"/>
              <w:spacing w:before="0" w:beforeAutospacing="0" w:after="0" w:afterAutospacing="0"/>
              <w:rPr>
                <w:b/>
                <w:bCs/>
                <w:sz w:val="10"/>
                <w:szCs w:val="10"/>
              </w:rPr>
              <w:outlineLvl w:val="0"/>
            </w:pPr>
            <w:r>
              <w:rPr>
                <w:b/>
                <w:bCs/>
                <w:sz w:val="21"/>
                <w:szCs w:val="21"/>
              </w:rPr>
            </w:r>
            <w:r>
              <w:rPr>
                <w:b/>
                <w:bCs/>
                <w:sz w:val="21"/>
                <w:szCs w:val="21"/>
              </w:rPr>
            </w:r>
            <w:r>
              <w:rPr>
                <w:b/>
                <w:bCs/>
                <w:sz w:val="10"/>
                <w:szCs w:val="10"/>
              </w:rPr>
            </w:r>
          </w:p>
          <w:p>
            <w:pPr>
              <w:ind w:left="0" w:right="0" w:firstLine="0"/>
              <w:jc w:val="both"/>
              <w:spacing w:before="0" w:beforeAutospacing="0" w:after="0" w:afterAutospacing="0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bCs/>
                <w:i/>
                <w:iCs/>
                <w:sz w:val="21"/>
                <w:szCs w:val="21"/>
              </w:rPr>
              <w:t xml:space="preserve">2. В связи с отсутствием прибыли по итогам 2025 года не выплачивать дивиденды по обыкновенным акциям Общества по результатам 2025 года.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ff0000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</w:p>
          <w:p>
            <w:pPr>
              <w:pStyle w:val="904"/>
              <w:ind w:right="57"/>
              <w:jc w:val="both"/>
              <w:widowControl w:val="off"/>
              <w:rPr>
                <w:b/>
                <w:bCs/>
                <w:i/>
                <w:sz w:val="21"/>
                <w:szCs w:val="21"/>
              </w:rPr>
            </w:pPr>
            <w:r>
              <w:rPr>
                <w:b/>
                <w:bCs/>
                <w:i/>
                <w:sz w:val="21"/>
                <w:szCs w:val="21"/>
              </w:rPr>
              <w:t xml:space="preserve">Результаты голосования по вопросу № 4 повестки дня:</w:t>
            </w:r>
            <w:r>
              <w:rPr>
                <w:b/>
                <w:bCs/>
                <w:i/>
                <w:sz w:val="21"/>
                <w:szCs w:val="21"/>
              </w:rPr>
            </w:r>
            <w:r>
              <w:rPr>
                <w:b/>
                <w:bCs/>
                <w:i/>
                <w:sz w:val="21"/>
                <w:szCs w:val="21"/>
              </w:rPr>
            </w:r>
          </w:p>
          <w:tbl>
            <w:tblPr>
              <w:tblW w:w="0" w:type="auto"/>
              <w:tblCellSpacing w:w="0" w:type="dxa"/>
              <w:tblLayout w:type="fixed"/>
              <w:tblLook w:val="04A0" w:firstRow="1" w:lastRow="0" w:firstColumn="1" w:lastColumn="0" w:noHBand="0" w:noVBand="1"/>
            </w:tblPr>
            <w:tblGrid>
              <w:gridCol w:w="828"/>
              <w:gridCol w:w="2340"/>
              <w:gridCol w:w="3060"/>
              <w:gridCol w:w="3060"/>
            </w:tblGrid>
            <w:tr>
              <w:tblPrEx/>
              <w:trPr>
                <w:tblCellSpacing w:w="0" w:type="dxa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28" w:type="dxa"/>
                  <w:vAlign w:val="center"/>
                  <w:textDirection w:val="lrTb"/>
                  <w:noWrap w:val="false"/>
                </w:tcPr>
                <w:p>
                  <w:pPr>
                    <w:ind w:right="57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 </w: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340" w:type="dxa"/>
                  <w:vAlign w:val="center"/>
                  <w:textDirection w:val="lrTb"/>
                  <w:noWrap w:val="false"/>
                </w:tcPr>
                <w:p>
                  <w:pPr>
                    <w:pStyle w:val="922"/>
                    <w:jc w:val="both"/>
                  </w:pPr>
                  <w:r>
                    <w:rPr>
                      <w:sz w:val="21"/>
                      <w:szCs w:val="21"/>
                    </w:rPr>
                    <w:t xml:space="preserve">«ЗА»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2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89 525 021 501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2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 (99,9815%)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</w:tr>
            <w:tr>
              <w:tblPrEx/>
              <w:trPr>
                <w:tblCellSpacing w:w="0" w:type="dxa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28" w:type="dxa"/>
                  <w:vAlign w:val="center"/>
                  <w:textDirection w:val="lrTb"/>
                  <w:noWrap w:val="false"/>
                </w:tcPr>
                <w:p>
                  <w:pPr>
                    <w:ind w:right="57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 </w: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340" w:type="dxa"/>
                  <w:vAlign w:val="center"/>
                  <w:textDirection w:val="lrTb"/>
                  <w:noWrap w:val="false"/>
                </w:tcPr>
                <w:p>
                  <w:pPr>
                    <w:pStyle w:val="922"/>
                    <w:jc w:val="both"/>
                  </w:pPr>
                  <w:r>
                    <w:rPr>
                      <w:sz w:val="21"/>
                      <w:szCs w:val="21"/>
                    </w:rPr>
                    <w:t xml:space="preserve">«ПРОТИВ»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2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2 604 655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2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 (0,0029%)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</w:tr>
            <w:tr>
              <w:tblPrEx/>
              <w:trPr>
                <w:tblCellSpacing w:w="0" w:type="dxa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28" w:type="dxa"/>
                  <w:vAlign w:val="center"/>
                  <w:textDirection w:val="lrTb"/>
                  <w:noWrap w:val="false"/>
                </w:tcPr>
                <w:p>
                  <w:pPr>
                    <w:ind w:right="57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 </w: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340" w:type="dxa"/>
                  <w:vAlign w:val="center"/>
                  <w:textDirection w:val="lrTb"/>
                  <w:noWrap w:val="false"/>
                </w:tcPr>
                <w:p>
                  <w:pPr>
                    <w:pStyle w:val="922"/>
                    <w:jc w:val="both"/>
                  </w:pPr>
                  <w:r>
                    <w:rPr>
                      <w:sz w:val="21"/>
                      <w:szCs w:val="21"/>
                    </w:rPr>
                    <w:t xml:space="preserve">«ВОЗДЕРЖАЛСЯ»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2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13 926 793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2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 (0,0156%)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</w:tr>
          </w:tbl>
          <w:p>
            <w:pPr>
              <w:pStyle w:val="904"/>
              <w:ind w:right="57"/>
              <w:jc w:val="both"/>
              <w:widowControl w:val="off"/>
              <w:rPr>
                <w:b/>
                <w:bCs/>
                <w:i/>
                <w:sz w:val="21"/>
                <w:szCs w:val="21"/>
              </w:rPr>
            </w:pPr>
            <w:r>
              <w:rPr>
                <w:b/>
                <w:bCs/>
                <w:i/>
                <w:sz w:val="21"/>
                <w:szCs w:val="21"/>
              </w:rPr>
            </w:r>
            <w:r>
              <w:rPr>
                <w:b/>
                <w:bCs/>
                <w:i/>
                <w:sz w:val="21"/>
                <w:szCs w:val="21"/>
              </w:rPr>
            </w:r>
            <w:r>
              <w:rPr>
                <w:b/>
                <w:bCs/>
                <w:i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Число голосов по вопросу № 4 повестки Собрания, поставленному на голосование, которые не подсчитывались в связи с признанием бюллетеней для голосования недействительными или по иным основаниям составило: 14 373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 (0,0000%).</w:t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Формулировка решения по вопросу № 4 повестки дня, принятого Собранием: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ff0000"/>
                <w:sz w:val="21"/>
                <w:szCs w:val="21"/>
                <w:highlight w:val="none"/>
              </w:rPr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Определить количественный состав Совета директоров ПАО «ОГК-2» равным 9 (Девять) человек.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pStyle w:val="904"/>
              <w:ind w:right="57"/>
              <w:jc w:val="both"/>
              <w:widowControl w:val="off"/>
              <w:rPr>
                <w:b/>
                <w:bCs/>
                <w:i/>
                <w:strike/>
                <w:sz w:val="21"/>
                <w:szCs w:val="21"/>
                <w:highlight w:val="none"/>
              </w:rPr>
            </w:pPr>
            <w:r>
              <w:rPr>
                <w:b/>
                <w:bCs/>
                <w:i/>
                <w:strike w:val="0"/>
                <w:sz w:val="21"/>
                <w:szCs w:val="21"/>
                <w:highlight w:val="white"/>
              </w:rPr>
              <w:t xml:space="preserve">Результаты голосования по вопросу № 5 повестки дня: </w:t>
            </w:r>
            <w:r>
              <w:rPr>
                <w:b/>
                <w:bCs/>
                <w:i/>
                <w:strike/>
                <w:sz w:val="21"/>
                <w:szCs w:val="21"/>
                <w:highlight w:val="none"/>
              </w:rPr>
            </w:r>
            <w:r>
              <w:rPr>
                <w:b/>
                <w:bCs/>
                <w:i/>
                <w:strike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strike/>
                <w:color w:val="ff0000"/>
                <w:sz w:val="21"/>
                <w:szCs w:val="21"/>
                <w:highlight w:val="yellow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sz w:val="21"/>
                <w:szCs w:val="21"/>
              </w:rPr>
              <w:t xml:space="preserve">Избран Совет директоров ПАО «ОГК-2» в количестве 9 человек.</w:t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  <w:highlight w:val="none"/>
              </w:rPr>
            </w:r>
          </w:p>
          <w:p>
            <w:pPr>
              <w:pStyle w:val="928"/>
              <w:ind w:left="0" w:right="57" w:firstLine="0"/>
              <w:spacing w:before="0" w:beforeAutospacing="0" w:after="0" w:afterAutospacing="0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i/>
                <w:iCs/>
                <w:color w:val="000000" w:themeColor="text1"/>
                <w:sz w:val="21"/>
                <w:szCs w:val="21"/>
              </w:rPr>
            </w:r>
            <w:bookmarkStart w:id="0" w:name="undefined"/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Результаты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голосования и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формулировк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а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 решения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 по вопросу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№ 5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повестки Собрания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 не раскрывается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sz w:val="21"/>
                <w:szCs w:val="21"/>
              </w:rPr>
              <w:t xml:space="preserve">согласно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sz w:val="21"/>
                <w:szCs w:val="21"/>
              </w:rPr>
              <w:t xml:space="preserve">Указу Президента Российской Федерации от 27 ноября 2023 № 903 «О временном порядке раскрытия и предоставления информации некоторыми российскими хозяйственными обществами», с учетом изменений, внесенных Указом Президента № 169 от  05 марта 2024 «О вн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sz w:val="21"/>
                <w:szCs w:val="21"/>
              </w:rPr>
              <w:t xml:space="preserve">есении изменений в перечень российских хозяйственных обществ, которые вправе самостоятельно определять состав и (или) объем информации, подлежащей раскрытию и (или) предоставлению, утвержденный Указом Президента Российской Федерации от 27 ноября 2023 № 903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sz w:val="21"/>
                <w:szCs w:val="21"/>
              </w:rPr>
              <w:t xml:space="preserve">»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sz w:val="21"/>
                <w:szCs w:val="21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</w:rPr>
            </w:r>
            <w:bookmarkEnd w:id="0"/>
            <w:r>
              <w:rPr>
                <w:rFonts w:ascii="Liberation Serif" w:hAnsi="Liberation Serif" w:eastAsia="Liberation Serif" w:cs="Liberation Serif"/>
                <w:b/>
                <w:i/>
                <w:iCs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strike/>
                <w:sz w:val="21"/>
                <w:szCs w:val="21"/>
                <w:highlight w:val="yellow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  <w:highlight w:val="yellow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  <w:highlight w:val="yellow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ff0000"/>
                <w:sz w:val="21"/>
                <w:szCs w:val="21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ff0000"/>
                <w:sz w:val="21"/>
                <w:szCs w:val="21"/>
                <w:highlight w:val="yellow"/>
              </w:rPr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В связи с тем, что по вопросу 4 повестки дня было принято решение 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«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Определить количественный состав Совета директоров ПАО «ОГК-2» равным 9 (Девять) человек.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» 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подсчет голосов по вопросу 6 повестки дня не производился.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ff0000"/>
                <w:sz w:val="21"/>
                <w:szCs w:val="21"/>
                <w:highlight w:val="yellow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ff0000"/>
                <w:sz w:val="21"/>
                <w:szCs w:val="21"/>
                <w:highlight w:val="yellow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ff0000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</w:p>
          <w:p>
            <w:pPr>
              <w:pStyle w:val="904"/>
              <w:ind w:right="57"/>
              <w:jc w:val="both"/>
              <w:widowControl w:val="off"/>
              <w:rPr>
                <w:b/>
                <w:bCs/>
                <w:i/>
                <w:sz w:val="21"/>
                <w:szCs w:val="21"/>
              </w:rPr>
            </w:pPr>
            <w:r>
              <w:rPr>
                <w:b/>
                <w:bCs/>
                <w:i/>
                <w:sz w:val="21"/>
                <w:szCs w:val="21"/>
              </w:rPr>
              <w:t xml:space="preserve">Результаты голосования по вопросу № 7 повестки дня:</w:t>
            </w:r>
            <w:r>
              <w:rPr>
                <w:b/>
                <w:bCs/>
                <w:i/>
                <w:sz w:val="21"/>
                <w:szCs w:val="21"/>
              </w:rPr>
            </w:r>
            <w:r>
              <w:rPr>
                <w:b/>
                <w:bCs/>
                <w:i/>
                <w:sz w:val="21"/>
                <w:szCs w:val="21"/>
              </w:rPr>
            </w:r>
          </w:p>
          <w:tbl>
            <w:tblPr>
              <w:tblW w:w="0" w:type="auto"/>
              <w:tblCellSpacing w:w="0" w:type="dxa"/>
              <w:tblLayout w:type="fixed"/>
              <w:tblLook w:val="04A0" w:firstRow="1" w:lastRow="0" w:firstColumn="1" w:lastColumn="0" w:noHBand="0" w:noVBand="1"/>
            </w:tblPr>
            <w:tblGrid>
              <w:gridCol w:w="828"/>
              <w:gridCol w:w="2340"/>
              <w:gridCol w:w="3060"/>
              <w:gridCol w:w="3060"/>
            </w:tblGrid>
            <w:tr>
              <w:tblPrEx/>
              <w:trPr>
                <w:tblCellSpacing w:w="0" w:type="dxa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28" w:type="dxa"/>
                  <w:vAlign w:val="center"/>
                  <w:textDirection w:val="lrTb"/>
                  <w:noWrap w:val="false"/>
                </w:tcPr>
                <w:p>
                  <w:pPr>
                    <w:ind w:right="57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 </w: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340" w:type="dxa"/>
                  <w:vAlign w:val="center"/>
                  <w:textDirection w:val="lrTb"/>
                  <w:noWrap w:val="false"/>
                </w:tcPr>
                <w:p>
                  <w:pPr>
                    <w:pStyle w:val="923"/>
                    <w:jc w:val="both"/>
                  </w:pPr>
                  <w:r>
                    <w:rPr>
                      <w:sz w:val="21"/>
                      <w:szCs w:val="21"/>
                    </w:rPr>
                    <w:t xml:space="preserve">«ЗА»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3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89 525 022 606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3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 (99,9815%)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</w:tr>
            <w:tr>
              <w:tblPrEx/>
              <w:trPr>
                <w:tblCellSpacing w:w="0" w:type="dxa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28" w:type="dxa"/>
                  <w:vAlign w:val="center"/>
                  <w:textDirection w:val="lrTb"/>
                  <w:noWrap w:val="false"/>
                </w:tcPr>
                <w:p>
                  <w:pPr>
                    <w:ind w:right="57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 </w: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340" w:type="dxa"/>
                  <w:vAlign w:val="center"/>
                  <w:textDirection w:val="lrTb"/>
                  <w:noWrap w:val="false"/>
                </w:tcPr>
                <w:p>
                  <w:pPr>
                    <w:pStyle w:val="923"/>
                    <w:jc w:val="both"/>
                  </w:pPr>
                  <w:r>
                    <w:rPr>
                      <w:sz w:val="21"/>
                      <w:szCs w:val="21"/>
                    </w:rPr>
                    <w:t xml:space="preserve">«ПРОТИВ»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3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2 551 070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3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 (0,0028%)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</w:tr>
            <w:tr>
              <w:tblPrEx/>
              <w:trPr>
                <w:tblCellSpacing w:w="0" w:type="dxa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28" w:type="dxa"/>
                  <w:vAlign w:val="center"/>
                  <w:textDirection w:val="lrTb"/>
                  <w:noWrap w:val="false"/>
                </w:tcPr>
                <w:p>
                  <w:pPr>
                    <w:ind w:right="57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 </w: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340" w:type="dxa"/>
                  <w:vAlign w:val="center"/>
                  <w:textDirection w:val="lrTb"/>
                  <w:noWrap w:val="false"/>
                </w:tcPr>
                <w:p>
                  <w:pPr>
                    <w:pStyle w:val="923"/>
                    <w:jc w:val="both"/>
                  </w:pPr>
                  <w:r>
                    <w:rPr>
                      <w:sz w:val="21"/>
                      <w:szCs w:val="21"/>
                    </w:rPr>
                    <w:t xml:space="preserve">«ВОЗДЕРЖАЛСЯ»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3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13 993 646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3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 (0,0156%)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</w:tr>
          </w:tbl>
          <w:p>
            <w:pPr>
              <w:pStyle w:val="904"/>
              <w:ind w:right="57"/>
              <w:jc w:val="both"/>
              <w:widowControl w:val="off"/>
              <w:rPr>
                <w:b/>
                <w:bCs/>
                <w:i/>
                <w:sz w:val="21"/>
                <w:szCs w:val="21"/>
              </w:rPr>
            </w:pPr>
            <w:r>
              <w:rPr>
                <w:b/>
                <w:bCs/>
                <w:i/>
                <w:sz w:val="21"/>
                <w:szCs w:val="21"/>
              </w:rPr>
            </w:r>
            <w:r>
              <w:rPr>
                <w:b/>
                <w:bCs/>
                <w:i/>
                <w:sz w:val="21"/>
                <w:szCs w:val="21"/>
              </w:rPr>
            </w:r>
            <w:r>
              <w:rPr>
                <w:b/>
                <w:bCs/>
                <w:i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Число голосов по вопросу № 7 повестки Собрания, поставленному на голосование, которые не подсчитывались в связи с признанием бюллетеней для голосования недействительными или по иным основаниям составило: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0 (0,0000%).</w:t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Формулировка решения по вопросу № 7 повестки дня, принятого Собранием: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ff0000"/>
                <w:sz w:val="21"/>
                <w:szCs w:val="21"/>
                <w:highlight w:val="none"/>
              </w:rPr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Утвердить Устав ПАО «ОГК-2» в новой редакции в соответствии с Приложением №3 (проект документа включен в состав информации (материалов), предоставляемой лицам, имеющим право голоса при принятии решений Общим собранием акционеров).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</w:p>
          <w:p>
            <w:pPr>
              <w:pStyle w:val="904"/>
              <w:ind w:right="57"/>
              <w:jc w:val="both"/>
              <w:widowControl w:val="off"/>
              <w:rPr>
                <w:b/>
                <w:bCs/>
                <w:i/>
                <w:sz w:val="21"/>
                <w:szCs w:val="21"/>
              </w:rPr>
            </w:pPr>
            <w:r>
              <w:rPr>
                <w:b/>
                <w:bCs/>
                <w:i/>
                <w:sz w:val="21"/>
                <w:szCs w:val="21"/>
              </w:rPr>
              <w:t xml:space="preserve">Результаты голосования по вопросу № 8 повестки дня:</w:t>
            </w:r>
            <w:r>
              <w:rPr>
                <w:b/>
                <w:bCs/>
                <w:i/>
                <w:sz w:val="21"/>
                <w:szCs w:val="21"/>
              </w:rPr>
            </w:r>
            <w:r>
              <w:rPr>
                <w:b/>
                <w:bCs/>
                <w:i/>
                <w:sz w:val="21"/>
                <w:szCs w:val="21"/>
              </w:rPr>
            </w:r>
          </w:p>
          <w:tbl>
            <w:tblPr>
              <w:tblW w:w="0" w:type="auto"/>
              <w:tblCellSpacing w:w="0" w:type="dxa"/>
              <w:tblLayout w:type="fixed"/>
              <w:tblLook w:val="04A0" w:firstRow="1" w:lastRow="0" w:firstColumn="1" w:lastColumn="0" w:noHBand="0" w:noVBand="1"/>
            </w:tblPr>
            <w:tblGrid>
              <w:gridCol w:w="828"/>
              <w:gridCol w:w="2340"/>
              <w:gridCol w:w="3060"/>
              <w:gridCol w:w="3060"/>
            </w:tblGrid>
            <w:tr>
              <w:tblPrEx/>
              <w:trPr>
                <w:tblCellSpacing w:w="0" w:type="dxa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28" w:type="dxa"/>
                  <w:vAlign w:val="center"/>
                  <w:textDirection w:val="lrTb"/>
                  <w:noWrap w:val="false"/>
                </w:tcPr>
                <w:p>
                  <w:pPr>
                    <w:ind w:right="57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 </w: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340" w:type="dxa"/>
                  <w:vAlign w:val="center"/>
                  <w:textDirection w:val="lrTb"/>
                  <w:noWrap w:val="false"/>
                </w:tcPr>
                <w:p>
                  <w:pPr>
                    <w:pStyle w:val="924"/>
                    <w:jc w:val="both"/>
                  </w:pPr>
                  <w:r>
                    <w:rPr>
                      <w:sz w:val="21"/>
                      <w:szCs w:val="21"/>
                    </w:rPr>
                    <w:t xml:space="preserve">«ЗА»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4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89 525 038 979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4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 (99,9815%)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</w:tr>
            <w:tr>
              <w:tblPrEx/>
              <w:trPr>
                <w:tblCellSpacing w:w="0" w:type="dxa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28" w:type="dxa"/>
                  <w:vAlign w:val="center"/>
                  <w:textDirection w:val="lrTb"/>
                  <w:noWrap w:val="false"/>
                </w:tcPr>
                <w:p>
                  <w:pPr>
                    <w:ind w:right="57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 </w: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340" w:type="dxa"/>
                  <w:vAlign w:val="center"/>
                  <w:textDirection w:val="lrTb"/>
                  <w:noWrap w:val="false"/>
                </w:tcPr>
                <w:p>
                  <w:pPr>
                    <w:pStyle w:val="924"/>
                    <w:jc w:val="both"/>
                  </w:pPr>
                  <w:r>
                    <w:rPr>
                      <w:sz w:val="21"/>
                      <w:szCs w:val="21"/>
                    </w:rPr>
                    <w:t xml:space="preserve">«ПРОТИВ»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4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2 382 070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4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 (0,0027%)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</w:tr>
            <w:tr>
              <w:tblPrEx/>
              <w:trPr>
                <w:tblCellSpacing w:w="0" w:type="dxa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28" w:type="dxa"/>
                  <w:vAlign w:val="center"/>
                  <w:textDirection w:val="lrTb"/>
                  <w:noWrap w:val="false"/>
                </w:tcPr>
                <w:p>
                  <w:pPr>
                    <w:ind w:right="57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 </w: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340" w:type="dxa"/>
                  <w:vAlign w:val="center"/>
                  <w:textDirection w:val="lrTb"/>
                  <w:noWrap w:val="false"/>
                </w:tcPr>
                <w:p>
                  <w:pPr>
                    <w:pStyle w:val="924"/>
                    <w:jc w:val="both"/>
                  </w:pPr>
                  <w:r>
                    <w:rPr>
                      <w:sz w:val="21"/>
                      <w:szCs w:val="21"/>
                    </w:rPr>
                    <w:t xml:space="preserve">«ВОЗДЕРЖАЛСЯ»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4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14 146 273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4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 (0,0158%)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</w:tr>
          </w:tbl>
          <w:p>
            <w:pPr>
              <w:pStyle w:val="904"/>
              <w:ind w:right="57"/>
              <w:jc w:val="both"/>
              <w:widowControl w:val="off"/>
              <w:rPr>
                <w:b/>
                <w:bCs/>
                <w:i/>
                <w:sz w:val="21"/>
                <w:szCs w:val="21"/>
              </w:rPr>
            </w:pPr>
            <w:r>
              <w:rPr>
                <w:b/>
                <w:bCs/>
                <w:i/>
                <w:sz w:val="21"/>
                <w:szCs w:val="21"/>
              </w:rPr>
            </w:r>
            <w:r>
              <w:rPr>
                <w:b/>
                <w:bCs/>
                <w:i/>
                <w:sz w:val="21"/>
                <w:szCs w:val="21"/>
              </w:rPr>
            </w:r>
            <w:r>
              <w:rPr>
                <w:b/>
                <w:bCs/>
                <w:i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Число голосов по вопросу № 8 повестки Собрания, поставленному на голосование, которые не подсчитывались в связи с признанием бюллетеней для голосования недействительными или по иным основаниям составило: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0 (0,0000%).</w:t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Формулировка решения по вопросу № 8 повестки дня, принятого Собранием: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ff0000"/>
                <w:sz w:val="21"/>
                <w:szCs w:val="21"/>
                <w:highlight w:val="none"/>
              </w:rPr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Утвердит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ь Положение об Общем собрании акционеров ПАО «ОГК-2» в новой редакции в соответствии с Приложением №4 (проект документа включен в состав информации (материалов), предоставляемой лицам, имеющим право голоса при принятии решений Общим собранием акционеров).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ff0000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</w:p>
          <w:p>
            <w:pPr>
              <w:pStyle w:val="904"/>
              <w:ind w:right="57"/>
              <w:jc w:val="both"/>
              <w:widowControl w:val="off"/>
              <w:rPr>
                <w:b/>
                <w:bCs/>
                <w:i/>
                <w:sz w:val="21"/>
                <w:szCs w:val="21"/>
              </w:rPr>
            </w:pPr>
            <w:r>
              <w:rPr>
                <w:b/>
                <w:bCs/>
                <w:i/>
                <w:sz w:val="21"/>
                <w:szCs w:val="21"/>
              </w:rPr>
              <w:t xml:space="preserve">Результаты голосования по вопросу № 9 повестки дня:</w:t>
            </w:r>
            <w:r>
              <w:rPr>
                <w:b/>
                <w:bCs/>
                <w:i/>
                <w:sz w:val="21"/>
                <w:szCs w:val="21"/>
              </w:rPr>
            </w:r>
            <w:r>
              <w:rPr>
                <w:b/>
                <w:bCs/>
                <w:i/>
                <w:sz w:val="21"/>
                <w:szCs w:val="21"/>
              </w:rPr>
            </w:r>
          </w:p>
          <w:tbl>
            <w:tblPr>
              <w:tblW w:w="0" w:type="auto"/>
              <w:tblCellSpacing w:w="0" w:type="dxa"/>
              <w:tblLayout w:type="fixed"/>
              <w:tblLook w:val="04A0" w:firstRow="1" w:lastRow="0" w:firstColumn="1" w:lastColumn="0" w:noHBand="0" w:noVBand="1"/>
            </w:tblPr>
            <w:tblGrid>
              <w:gridCol w:w="828"/>
              <w:gridCol w:w="2340"/>
              <w:gridCol w:w="3060"/>
              <w:gridCol w:w="3060"/>
            </w:tblGrid>
            <w:tr>
              <w:tblPrEx/>
              <w:trPr>
                <w:tblCellSpacing w:w="0" w:type="dxa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28" w:type="dxa"/>
                  <w:vAlign w:val="center"/>
                  <w:textDirection w:val="lrTb"/>
                  <w:noWrap w:val="false"/>
                </w:tcPr>
                <w:p>
                  <w:pPr>
                    <w:ind w:right="57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 </w: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340" w:type="dxa"/>
                  <w:vAlign w:val="center"/>
                  <w:textDirection w:val="lrTb"/>
                  <w:noWrap w:val="false"/>
                </w:tcPr>
                <w:p>
                  <w:pPr>
                    <w:pStyle w:val="925"/>
                    <w:jc w:val="both"/>
                  </w:pPr>
                  <w:r>
                    <w:rPr>
                      <w:sz w:val="21"/>
                      <w:szCs w:val="21"/>
                    </w:rPr>
                    <w:t xml:space="preserve">«ЗА»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5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89 525 794 279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5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 (99,9824%)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</w:tr>
            <w:tr>
              <w:tblPrEx/>
              <w:trPr>
                <w:tblCellSpacing w:w="0" w:type="dxa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28" w:type="dxa"/>
                  <w:vAlign w:val="center"/>
                  <w:textDirection w:val="lrTb"/>
                  <w:noWrap w:val="false"/>
                </w:tcPr>
                <w:p>
                  <w:pPr>
                    <w:ind w:right="57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 </w: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340" w:type="dxa"/>
                  <w:vAlign w:val="center"/>
                  <w:textDirection w:val="lrTb"/>
                  <w:noWrap w:val="false"/>
                </w:tcPr>
                <w:p>
                  <w:pPr>
                    <w:pStyle w:val="925"/>
                    <w:jc w:val="both"/>
                  </w:pPr>
                  <w:r>
                    <w:rPr>
                      <w:sz w:val="21"/>
                      <w:szCs w:val="21"/>
                    </w:rPr>
                    <w:t xml:space="preserve">«ПРОТИВ»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5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2 022 163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5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 (0,0023%)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</w:tr>
            <w:tr>
              <w:tblPrEx/>
              <w:trPr>
                <w:tblCellSpacing w:w="0" w:type="dxa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28" w:type="dxa"/>
                  <w:vAlign w:val="center"/>
                  <w:textDirection w:val="lrTb"/>
                  <w:noWrap w:val="false"/>
                </w:tcPr>
                <w:p>
                  <w:pPr>
                    <w:ind w:right="57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 </w: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340" w:type="dxa"/>
                  <w:vAlign w:val="center"/>
                  <w:textDirection w:val="lrTb"/>
                  <w:noWrap w:val="false"/>
                </w:tcPr>
                <w:p>
                  <w:pPr>
                    <w:pStyle w:val="925"/>
                    <w:jc w:val="both"/>
                  </w:pPr>
                  <w:r>
                    <w:rPr>
                      <w:sz w:val="21"/>
                      <w:szCs w:val="21"/>
                    </w:rPr>
                    <w:t xml:space="preserve">«ВОЗДЕРЖАЛСЯ»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5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13 750 880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60" w:type="dxa"/>
                  <w:vAlign w:val="center"/>
                  <w:textDirection w:val="lrTb"/>
                  <w:noWrap w:val="false"/>
                </w:tcPr>
                <w:p>
                  <w:pPr>
                    <w:pStyle w:val="925"/>
                    <w:jc w:val="right"/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 (0,0154%)</w:t>
                  </w:r>
                  <w:r>
                    <w:rPr>
                      <w:sz w:val="21"/>
                      <w:szCs w:val="21"/>
                      <w:lang w:val="en-US"/>
                    </w:rPr>
                  </w:r>
                  <w:r/>
                </w:p>
              </w:tc>
            </w:tr>
          </w:tbl>
          <w:p>
            <w:pPr>
              <w:pStyle w:val="904"/>
              <w:ind w:right="57"/>
              <w:jc w:val="both"/>
              <w:widowControl w:val="off"/>
              <w:rPr>
                <w:b/>
                <w:bCs/>
                <w:i/>
                <w:sz w:val="21"/>
                <w:szCs w:val="21"/>
              </w:rPr>
            </w:pPr>
            <w:r>
              <w:rPr>
                <w:b/>
                <w:bCs/>
                <w:i/>
                <w:sz w:val="21"/>
                <w:szCs w:val="21"/>
              </w:rPr>
            </w:r>
            <w:r>
              <w:rPr>
                <w:b/>
                <w:bCs/>
                <w:i/>
                <w:sz w:val="21"/>
                <w:szCs w:val="21"/>
              </w:rPr>
            </w:r>
            <w:r>
              <w:rPr>
                <w:b/>
                <w:bCs/>
                <w:i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Число голосов по вопросу № 9 повестки Собрания, поставленному на голосование, которые не подсчитывались в связи с признанием бюллетеней для голосования недействительными или по иным основаниям составило: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 w:themeColor="text1"/>
                <w:sz w:val="21"/>
                <w:szCs w:val="21"/>
                <w:highlight w:val="white"/>
              </w:rPr>
              <w:t xml:space="preserve">0 (0,0000%).</w:t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color w:val="000000" w:themeColor="text1"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/>
                <w:sz w:val="21"/>
                <w:szCs w:val="21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000000"/>
                <w:sz w:val="21"/>
                <w:szCs w:val="21"/>
                <w:highlight w:val="white"/>
              </w:rPr>
              <w:t xml:space="preserve">Формулировка решения по вопросу № 9 повестки дня, принятого Собранием: 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i/>
                <w:iCs/>
                <w:color w:val="ff0000"/>
                <w:sz w:val="21"/>
                <w:szCs w:val="21"/>
                <w:highlight w:val="none"/>
              </w:rPr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Назначить Юникон АО (юридический адрес: 117587, г. Москва, Варшавское шоссе, д.125, строение 1, секция 11, 3 эт., пом. </w:t>
            </w:r>
            <w:r>
              <w:rPr>
                <w:b/>
                <w:bCs/>
                <w:i/>
                <w:iCs/>
                <w:sz w:val="21"/>
                <w:szCs w:val="21"/>
                <w:lang w:val="en-US"/>
              </w:rPr>
              <w:t xml:space="preserve">I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, ком.50; ИНН 7716021332, ОГРН 1037739271701, свидетельство о 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членстве  в СРО аудиторов Ассоциация «Содружество» ОРНЗ 12006020340) в качестве аудиторской организации, осуществляющей аудит финансовой (бухгалтерской) отчетности ПАО «ОГК-2» по российским стандартам бухгалтерского учета за 2026 год, консолидированной фин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ансовой отчетности Группы ОГК-2 по международным стандартам финансовой отчетности за 2026 год, обзорной проверки промежуточной консолидированной финансовой отчетности Группы ОГК-2 по международным стандартам финансовой отчетности за 1 полугодие 2026 года.</w:t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i/>
                <w:color w:val="ff0000"/>
                <w:sz w:val="21"/>
                <w:szCs w:val="21"/>
                <w:highlight w:val="none"/>
              </w:rPr>
            </w:r>
          </w:p>
          <w:p>
            <w:pPr>
              <w:pStyle w:val="908"/>
              <w:ind w:left="0" w:right="57"/>
              <w:jc w:val="both"/>
              <w:spacing w:after="0" w:line="240" w:lineRule="auto"/>
              <w:rPr>
                <w:rFonts w:ascii="Times New Roman" w:hAnsi="Times New Roman" w:eastAsiaTheme="minorHAnsi"/>
                <w:bCs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Cs/>
                <w:sz w:val="21"/>
                <w:szCs w:val="21"/>
              </w:rPr>
            </w:r>
            <w:r>
              <w:rPr>
                <w:rFonts w:ascii="Times New Roman" w:hAnsi="Times New Roman" w:eastAsiaTheme="minorHAnsi"/>
                <w:bCs/>
                <w:sz w:val="21"/>
                <w:szCs w:val="21"/>
              </w:rPr>
            </w:r>
            <w:r>
              <w:rPr>
                <w:rFonts w:ascii="Times New Roman" w:hAnsi="Times New Roman" w:eastAsiaTheme="minorHAnsi"/>
                <w:bCs/>
                <w:sz w:val="21"/>
                <w:szCs w:val="21"/>
              </w:rPr>
            </w:r>
          </w:p>
          <w:p>
            <w:pPr>
              <w:ind w:right="57"/>
              <w:jc w:val="both"/>
              <w:rPr>
                <w:b/>
                <w:bCs/>
                <w:i/>
                <w:iCs/>
                <w:color w:val="000000" w:themeColor="text1"/>
                <w:sz w:val="21"/>
                <w:szCs w:val="21"/>
              </w:rPr>
              <w:outlineLvl w:val="3"/>
            </w:pPr>
            <w:r>
              <w:rPr>
                <w:bCs/>
                <w:iCs/>
                <w:color w:val="000000" w:themeColor="text1"/>
                <w:sz w:val="21"/>
                <w:szCs w:val="21"/>
              </w:rPr>
              <w:t xml:space="preserve">2.7. Дата составления и номер протокола общего собрания акционеров эмитента: </w:t>
            </w:r>
            <w:r>
              <w:rPr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19</w:t>
            </w:r>
            <w:r>
              <w:rPr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 июня 2026</w:t>
            </w:r>
            <w:r>
              <w:rPr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 года, </w:t>
            </w:r>
            <w:r>
              <w:rPr>
                <w:b/>
                <w:bCs/>
                <w:i/>
                <w:iCs/>
                <w:color w:val="000000" w:themeColor="text1"/>
                <w:sz w:val="21"/>
                <w:szCs w:val="21"/>
              </w:rPr>
              <w:br/>
            </w:r>
            <w:r>
              <w:rPr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протокол </w:t>
            </w:r>
            <w:r>
              <w:rPr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№ 23</w:t>
            </w:r>
            <w:r>
              <w:rPr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.</w:t>
            </w:r>
            <w:r>
              <w:rPr>
                <w:b/>
                <w:bCs/>
                <w:i/>
                <w:iCs/>
                <w:color w:val="000000" w:themeColor="text1"/>
                <w:sz w:val="21"/>
                <w:szCs w:val="21"/>
              </w:rPr>
            </w:r>
            <w:r>
              <w:rPr>
                <w:b/>
                <w:bCs/>
                <w:i/>
                <w:iCs/>
                <w:color w:val="000000" w:themeColor="text1"/>
                <w:sz w:val="21"/>
                <w:szCs w:val="21"/>
              </w:rPr>
            </w:r>
          </w:p>
          <w:p>
            <w:pPr>
              <w:ind w:right="57"/>
              <w:jc w:val="both"/>
              <w:rPr>
                <w:bCs/>
                <w:iCs/>
                <w:sz w:val="21"/>
                <w:szCs w:val="21"/>
              </w:rPr>
            </w:pPr>
            <w:r>
              <w:rPr>
                <w:bCs/>
                <w:iCs/>
                <w:sz w:val="21"/>
                <w:szCs w:val="21"/>
              </w:rPr>
              <w:t xml:space="preserve">2.8. Идентификационные признаки ценных бумаг (акций, владельцы которых имеют право на участие в общем собрании акционеров эмитента): 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акции обыкновенные, государственный регистрационный номер 1-02-65105-D от 19.04.2007, международный код (номер) идентификации ценных бумаг (ISIN): RU000A0JNG55, международный код классификации финансовых инструментов (CFI) ESVXFR.</w:t>
            </w:r>
            <w:r>
              <w:rPr>
                <w:bCs/>
                <w:iCs/>
                <w:sz w:val="21"/>
                <w:szCs w:val="21"/>
              </w:rPr>
            </w:r>
            <w:r>
              <w:rPr>
                <w:bCs/>
                <w:iCs/>
                <w:sz w:val="21"/>
                <w:szCs w:val="21"/>
              </w:rPr>
            </w:r>
          </w:p>
        </w:tc>
      </w:tr>
    </w:tbl>
    <w:p>
      <w:pPr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tbl>
      <w:tblPr>
        <w:tblW w:w="10773" w:type="dxa"/>
        <w:tblInd w:w="5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1"/>
        <w:gridCol w:w="357"/>
        <w:gridCol w:w="384"/>
        <w:gridCol w:w="1317"/>
        <w:gridCol w:w="416"/>
        <w:gridCol w:w="307"/>
        <w:gridCol w:w="1209"/>
        <w:gridCol w:w="1338"/>
        <w:gridCol w:w="462"/>
        <w:gridCol w:w="3072"/>
        <w:gridCol w:w="680"/>
      </w:tblGrid>
      <w:tr>
        <w:tblPrEx/>
        <w:trPr>
          <w:cantSplit/>
          <w:trHeight w:val="248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3" w:type="dxa"/>
            <w:textDirection w:val="lrTb"/>
            <w:noWrap w:val="false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Подпись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blPrEx/>
        <w:trPr>
          <w:cantSplit/>
          <w:trHeight w:val="859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pStyle w:val="907"/>
              <w:rPr>
                <w:rFonts w:eastAsia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cs="Times New Roman"/>
                <w:b/>
                <w:sz w:val="21"/>
                <w:szCs w:val="21"/>
              </w:rPr>
              <w:t xml:space="preserve">3.1. </w:t>
            </w:r>
            <w:r>
              <w:rPr>
                <w:rFonts w:eastAsia="Times New Roman" w:cs="Times New Roman"/>
                <w:b/>
                <w:color w:val="000000"/>
                <w:sz w:val="21"/>
                <w:szCs w:val="21"/>
              </w:rPr>
              <w:t xml:space="preserve">Начальник Управления корпоративных и имущественных отношений, действующий на основании доверенности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1"/>
                <w:szCs w:val="21"/>
                <w:highlight w:val="white"/>
              </w:rPr>
              <w:t xml:space="preserve">№ 78/362-н/78-2025-3-1278 от 10.12.2025</w:t>
            </w:r>
            <w:r>
              <w:rPr>
                <w:rFonts w:eastAsia="Times New Roman" w:cs="Times New Roman"/>
                <w:b/>
                <w:color w:val="000000"/>
                <w:sz w:val="21"/>
                <w:szCs w:val="21"/>
              </w:rPr>
            </w:r>
            <w:r>
              <w:rPr>
                <w:rFonts w:eastAsia="Times New Roman" w:cs="Times New Roman"/>
                <w:b/>
                <w:color w:val="000000"/>
                <w:sz w:val="21"/>
                <w:szCs w:val="21"/>
              </w:rPr>
            </w:r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1800" w:type="dxa"/>
            <w:vAlign w:val="bottom"/>
            <w:textDirection w:val="lrTb"/>
            <w:noWrap w:val="false"/>
          </w:tcPr>
          <w:p>
            <w:pPr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</w:tcBorders>
            <w:tcW w:w="3072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Е.Н. Егорова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680" w:type="dxa"/>
            <w:vAlign w:val="bottom"/>
            <w:textDirection w:val="lrTb"/>
            <w:noWrap w:val="false"/>
          </w:tcPr>
          <w:p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</w:tc>
      </w:tr>
      <w:tr>
        <w:tblPrEx/>
        <w:trPr>
          <w:cantSplit/>
          <w:trHeight w:val="280" w:hRule="exact"/>
        </w:trPr>
        <w:tc>
          <w:tcPr>
            <w:gridSpan w:val="7"/>
            <w:tcBorders>
              <w:lef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</w:tc>
        <w:tc>
          <w:tcPr>
            <w:gridSpan w:val="2"/>
            <w:tcW w:w="1800" w:type="dxa"/>
            <w:textDirection w:val="lrTb"/>
            <w:noWrap w:val="false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(подпись)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W w:w="3072" w:type="dxa"/>
            <w:textDirection w:val="lrTb"/>
            <w:noWrap w:val="false"/>
          </w:tcPr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right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blPrEx/>
        <w:trPr>
          <w:cantSplit/>
        </w:trPr>
        <w:tc>
          <w:tcPr>
            <w:tcBorders>
              <w:left w:val="single" w:color="000000" w:sz="4" w:space="0"/>
            </w:tcBorders>
            <w:tcW w:w="1231" w:type="dxa"/>
            <w:vAlign w:val="bottom"/>
            <w:textDirection w:val="lrTb"/>
            <w:noWrap w:val="false"/>
          </w:tcPr>
          <w:p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3.2. Дата </w:t>
            </w:r>
            <w:r>
              <w:rPr>
                <w:color w:val="000000" w:themeColor="text1"/>
                <w:sz w:val="21"/>
                <w:szCs w:val="21"/>
              </w:rPr>
              <w:t xml:space="preserve">   “</w:t>
            </w:r>
            <w:r>
              <w:rPr>
                <w:color w:val="000000" w:themeColor="text1"/>
                <w:sz w:val="21"/>
                <w:szCs w:val="21"/>
              </w:rPr>
            </w: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Borders>
              <w:bottom w:val="single" w:color="000000" w:sz="4" w:space="0"/>
            </w:tcBorders>
            <w:tcW w:w="35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19</w:t>
            </w:r>
            <w:r>
              <w:rPr>
                <w:color w:val="000000" w:themeColor="text1"/>
                <w:sz w:val="21"/>
                <w:szCs w:val="21"/>
              </w:rPr>
            </w: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84" w:type="dxa"/>
            <w:vAlign w:val="bottom"/>
            <w:textDirection w:val="lrTb"/>
            <w:noWrap w:val="false"/>
          </w:tcPr>
          <w:p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”</w:t>
            </w:r>
            <w:r>
              <w:rPr>
                <w:color w:val="000000" w:themeColor="text1"/>
                <w:sz w:val="21"/>
                <w:szCs w:val="21"/>
              </w:rPr>
            </w: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Borders>
              <w:bottom w:val="single" w:color="000000" w:sz="4" w:space="0"/>
            </w:tcBorders>
            <w:tcW w:w="1317" w:type="dxa"/>
            <w:vAlign w:val="bottom"/>
            <w:textDirection w:val="lrTb"/>
            <w:noWrap w:val="false"/>
          </w:tcPr>
          <w:p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color w:val="000000" w:themeColor="text1"/>
                <w:sz w:val="21"/>
                <w:szCs w:val="21"/>
              </w:rPr>
              <w:t xml:space="preserve">июня</w:t>
            </w:r>
            <w:r>
              <w:rPr>
                <w:color w:val="000000" w:themeColor="text1"/>
                <w:sz w:val="21"/>
                <w:szCs w:val="21"/>
              </w:rPr>
            </w: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416" w:type="dxa"/>
            <w:vAlign w:val="bottom"/>
            <w:textDirection w:val="lrTb"/>
            <w:noWrap w:val="false"/>
          </w:tcPr>
          <w:p>
            <w:pPr>
              <w:jc w:val="right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20</w:t>
            </w:r>
            <w:r>
              <w:rPr>
                <w:color w:val="000000" w:themeColor="text1"/>
                <w:sz w:val="21"/>
                <w:szCs w:val="21"/>
              </w:rPr>
            </w: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Borders>
              <w:bottom w:val="single" w:color="000000" w:sz="4" w:space="0"/>
            </w:tcBorders>
            <w:tcW w:w="307" w:type="dxa"/>
            <w:vAlign w:val="bottom"/>
            <w:textDirection w:val="lrTb"/>
            <w:noWrap w:val="false"/>
          </w:tcPr>
          <w:p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26</w:t>
            </w:r>
            <w:r>
              <w:rPr>
                <w:color w:val="000000" w:themeColor="text1"/>
                <w:sz w:val="21"/>
                <w:szCs w:val="21"/>
              </w:rPr>
            </w: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09" w:type="dxa"/>
            <w:vAlign w:val="bottom"/>
            <w:textDirection w:val="lrTb"/>
            <w:noWrap w:val="false"/>
          </w:tcPr>
          <w:p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  <w:r>
              <w:rPr>
                <w:color w:val="000000" w:themeColor="text1"/>
                <w:sz w:val="21"/>
                <w:szCs w:val="21"/>
              </w:rPr>
            </w: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33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gridSpan w:val="3"/>
            <w:tcBorders>
              <w:right w:val="single" w:color="000000" w:sz="4" w:space="0"/>
            </w:tcBorders>
            <w:tcW w:w="4214" w:type="dxa"/>
            <w:vAlign w:val="bottom"/>
            <w:textDirection w:val="lrTb"/>
            <w:noWrap w:val="false"/>
          </w:tcPr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blPrEx/>
        <w:trPr>
          <w:cantSplit/>
        </w:trPr>
        <w:tc>
          <w:tcPr>
            <w:gridSpan w:val="7"/>
            <w:tcBorders>
              <w:left w:val="single" w:color="000000" w:sz="4" w:space="0"/>
              <w:bottom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  <w:r>
              <w:rPr>
                <w:color w:val="000000" w:themeColor="text1"/>
                <w:sz w:val="21"/>
                <w:szCs w:val="21"/>
              </w:rPr>
            </w: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Borders>
              <w:bottom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gridSpan w:val="3"/>
            <w:tcBorders>
              <w:bottom w:val="single" w:color="000000" w:sz="4" w:space="0"/>
              <w:right w:val="single" w:color="000000" w:sz="4" w:space="0"/>
            </w:tcBorders>
            <w:tcW w:w="4214" w:type="dxa"/>
            <w:textDirection w:val="lrTb"/>
            <w:noWrap w:val="false"/>
          </w:tcPr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</w:tbl>
    <w:p>
      <w:pPr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850" w:right="850" w:bottom="426" w:left="108" w:header="397" w:footer="397" w:gutter="0"/>
      <w:cols w:num="1" w:sep="0" w:space="709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Liberation Serif">
    <w:panose1 w:val="02020603050405020304"/>
  </w:font>
  <w:font w:name="Segoe UI">
    <w:panose1 w:val="020B0502040504020204"/>
  </w:font>
  <w:font w:name="Calibri">
    <w:panose1 w:val="020F0502020204030204"/>
  </w:font>
  <w:font w:name="WenQuanYi Micro Hei">
    <w:panose1 w:val="020B0604020202020204"/>
  </w:font>
  <w:font w:name="Lohit Devanagari">
    <w:panose1 w:val="020B0604020202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  <w:rPr>
        <w:rStyle w:val="902"/>
      </w:rPr>
      <w:framePr w:wrap="around" w:vAnchor="text" w:hAnchor="margin" w:xAlign="center" w:y="1"/>
    </w:pPr>
    <w:r>
      <w:rPr>
        <w:rStyle w:val="902"/>
      </w:rPr>
      <w:fldChar w:fldCharType="begin"/>
    </w:r>
    <w:r>
      <w:rPr>
        <w:rStyle w:val="902"/>
      </w:rPr>
      <w:instrText xml:space="preserve">PAGE  </w:instrText>
    </w:r>
    <w:r>
      <w:rPr>
        <w:rStyle w:val="902"/>
      </w:rPr>
      <w:fldChar w:fldCharType="separate"/>
    </w:r>
    <w:r>
      <w:rPr>
        <w:rStyle w:val="902"/>
      </w:rPr>
      <w:t xml:space="preserve">3</w:t>
    </w:r>
    <w:r>
      <w:rPr>
        <w:rStyle w:val="902"/>
      </w:rPr>
      <w:fldChar w:fldCharType="end"/>
    </w:r>
    <w:r>
      <w:rPr>
        <w:rStyle w:val="902"/>
      </w:rPr>
    </w:r>
    <w:r>
      <w:rPr>
        <w:rStyle w:val="902"/>
      </w:rPr>
    </w:r>
  </w:p>
  <w:p>
    <w:pPr>
      <w:pStyle w:val="90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  <w:rPr>
        <w:rStyle w:val="902"/>
      </w:rPr>
      <w:framePr w:wrap="around" w:vAnchor="text" w:hAnchor="margin" w:xAlign="center" w:y="1"/>
    </w:pPr>
    <w:r>
      <w:rPr>
        <w:rStyle w:val="902"/>
      </w:rPr>
      <w:fldChar w:fldCharType="begin"/>
    </w:r>
    <w:r>
      <w:rPr>
        <w:rStyle w:val="902"/>
      </w:rPr>
      <w:instrText xml:space="preserve">PAGE  </w:instrText>
    </w:r>
    <w:r>
      <w:rPr>
        <w:rStyle w:val="902"/>
      </w:rPr>
      <w:fldChar w:fldCharType="end"/>
    </w:r>
    <w:r>
      <w:rPr>
        <w:rStyle w:val="902"/>
      </w:rPr>
    </w:r>
    <w:r>
      <w:rPr>
        <w:rStyle w:val="902"/>
      </w:rPr>
    </w:r>
  </w:p>
  <w:p>
    <w:pPr>
      <w:pStyle w:val="90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/>
      <w:rPr>
        <w:rFonts w:cs="Times New Roman"/>
        <w:spacing w:val="0"/>
      </w:rPr>
    </w:lvl>
    <w:lvl w:ilvl="1">
      <w:start w:val="1"/>
      <w:numFmt w:val="none"/>
      <w:isLgl w:val="false"/>
      <w:suff w:val="nothing"/>
      <w:lvlText w:val=""/>
      <w:lvlJc w:val="left"/>
      <w:pPr>
        <w:ind w:left="720"/>
      </w:pPr>
      <w:rPr>
        <w:rFonts w:cs="Times New Roman"/>
        <w:spacing w:val="0"/>
      </w:rPr>
    </w:lvl>
    <w:lvl w:ilvl="2">
      <w:start w:val="1"/>
      <w:numFmt w:val="none"/>
      <w:isLgl w:val="false"/>
      <w:suff w:val="nothing"/>
      <w:lvlText w:val=""/>
      <w:lvlJc w:val="left"/>
      <w:pPr>
        <w:ind w:left="1440"/>
      </w:pPr>
      <w:rPr>
        <w:rFonts w:cs="Times New Roman"/>
        <w:spacing w:val="0"/>
      </w:rPr>
    </w:lvl>
    <w:lvl w:ilvl="3">
      <w:start w:val="1"/>
      <w:numFmt w:val="none"/>
      <w:isLgl w:val="false"/>
      <w:suff w:val="nothing"/>
      <w:lvlText w:val=""/>
      <w:lvlJc w:val="left"/>
      <w:pPr>
        <w:ind w:left="2160"/>
      </w:pPr>
      <w:rPr>
        <w:rFonts w:cs="Times New Roman"/>
        <w:spacing w:val="0"/>
      </w:rPr>
    </w:lvl>
    <w:lvl w:ilvl="4">
      <w:start w:val="1"/>
      <w:numFmt w:val="none"/>
      <w:isLgl w:val="false"/>
      <w:suff w:val="nothing"/>
      <w:lvlText w:val=""/>
      <w:lvlJc w:val="left"/>
      <w:pPr>
        <w:ind w:left="2880"/>
      </w:pPr>
      <w:rPr>
        <w:rFonts w:cs="Times New Roman"/>
        <w:spacing w:val="0"/>
      </w:rPr>
    </w:lvl>
    <w:lvl w:ilvl="5">
      <w:start w:val="1"/>
      <w:numFmt w:val="none"/>
      <w:isLgl w:val="false"/>
      <w:suff w:val="nothing"/>
      <w:lvlText w:val=""/>
      <w:lvlJc w:val="left"/>
      <w:pPr>
        <w:ind w:left="3600"/>
      </w:pPr>
      <w:rPr>
        <w:rFonts w:cs="Times New Roman"/>
        <w:spacing w:val="0"/>
      </w:rPr>
    </w:lvl>
    <w:lvl w:ilvl="6">
      <w:start w:val="1"/>
      <w:numFmt w:val="none"/>
      <w:isLgl w:val="false"/>
      <w:suff w:val="nothing"/>
      <w:lvlText w:val=""/>
      <w:lvlJc w:val="left"/>
      <w:pPr>
        <w:ind w:left="4320"/>
      </w:pPr>
      <w:rPr>
        <w:rFonts w:cs="Times New Roman"/>
        <w:spacing w:val="0"/>
      </w:rPr>
    </w:lvl>
    <w:lvl w:ilvl="7">
      <w:start w:val="1"/>
      <w:numFmt w:val="none"/>
      <w:isLgl w:val="false"/>
      <w:suff w:val="nothing"/>
      <w:lvlText w:val=""/>
      <w:lvlJc w:val="left"/>
      <w:pPr>
        <w:ind w:left="5040"/>
      </w:pPr>
      <w:rPr>
        <w:rFonts w:cs="Times New Roman"/>
        <w:spacing w:val="0"/>
      </w:rPr>
    </w:lvl>
    <w:lvl w:ilvl="8">
      <w:start w:val="1"/>
      <w:numFmt w:val="none"/>
      <w:isLgl w:val="false"/>
      <w:suff w:val="nothing"/>
      <w:lvlText w:val=""/>
      <w:lvlJc w:val="left"/>
      <w:pPr>
        <w:ind w:left="5760"/>
      </w:pPr>
      <w:rPr>
        <w:rFonts w:cs="Times New Roman"/>
        <w:spacing w:val="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41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7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41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77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41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77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41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77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41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77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4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2">
    <w:name w:val="Heading 1"/>
    <w:basedOn w:val="894"/>
    <w:next w:val="894"/>
    <w:link w:val="72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3">
    <w:name w:val="Heading 1 Char"/>
    <w:basedOn w:val="895"/>
    <w:link w:val="722"/>
    <w:uiPriority w:val="9"/>
    <w:rPr>
      <w:rFonts w:ascii="Arial" w:hAnsi="Arial" w:eastAsia="Arial" w:cs="Arial"/>
      <w:sz w:val="40"/>
      <w:szCs w:val="40"/>
    </w:rPr>
  </w:style>
  <w:style w:type="paragraph" w:styleId="724">
    <w:name w:val="Heading 2"/>
    <w:basedOn w:val="894"/>
    <w:next w:val="894"/>
    <w:link w:val="72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5">
    <w:name w:val="Heading 2 Char"/>
    <w:basedOn w:val="895"/>
    <w:link w:val="724"/>
    <w:uiPriority w:val="9"/>
    <w:rPr>
      <w:rFonts w:ascii="Arial" w:hAnsi="Arial" w:eastAsia="Arial" w:cs="Arial"/>
      <w:sz w:val="34"/>
    </w:rPr>
  </w:style>
  <w:style w:type="paragraph" w:styleId="726">
    <w:name w:val="Heading 3"/>
    <w:basedOn w:val="894"/>
    <w:next w:val="894"/>
    <w:link w:val="72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7">
    <w:name w:val="Heading 3 Char"/>
    <w:basedOn w:val="895"/>
    <w:link w:val="726"/>
    <w:uiPriority w:val="9"/>
    <w:rPr>
      <w:rFonts w:ascii="Arial" w:hAnsi="Arial" w:eastAsia="Arial" w:cs="Arial"/>
      <w:sz w:val="30"/>
      <w:szCs w:val="30"/>
    </w:rPr>
  </w:style>
  <w:style w:type="paragraph" w:styleId="728">
    <w:name w:val="Heading 4"/>
    <w:basedOn w:val="894"/>
    <w:next w:val="894"/>
    <w:link w:val="72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9">
    <w:name w:val="Heading 4 Char"/>
    <w:basedOn w:val="895"/>
    <w:link w:val="728"/>
    <w:uiPriority w:val="9"/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894"/>
    <w:next w:val="894"/>
    <w:link w:val="73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1">
    <w:name w:val="Heading 5 Char"/>
    <w:basedOn w:val="895"/>
    <w:link w:val="730"/>
    <w:uiPriority w:val="9"/>
    <w:rPr>
      <w:rFonts w:ascii="Arial" w:hAnsi="Arial" w:eastAsia="Arial" w:cs="Arial"/>
      <w:b/>
      <w:bCs/>
      <w:sz w:val="24"/>
      <w:szCs w:val="24"/>
    </w:rPr>
  </w:style>
  <w:style w:type="paragraph" w:styleId="732">
    <w:name w:val="Heading 6"/>
    <w:basedOn w:val="894"/>
    <w:next w:val="894"/>
    <w:link w:val="73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3">
    <w:name w:val="Heading 6 Char"/>
    <w:basedOn w:val="895"/>
    <w:link w:val="732"/>
    <w:uiPriority w:val="9"/>
    <w:rPr>
      <w:rFonts w:ascii="Arial" w:hAnsi="Arial" w:eastAsia="Arial" w:cs="Arial"/>
      <w:b/>
      <w:bCs/>
      <w:sz w:val="22"/>
      <w:szCs w:val="22"/>
    </w:rPr>
  </w:style>
  <w:style w:type="paragraph" w:styleId="734">
    <w:name w:val="Heading 7"/>
    <w:basedOn w:val="894"/>
    <w:next w:val="894"/>
    <w:link w:val="73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5">
    <w:name w:val="Heading 7 Char"/>
    <w:basedOn w:val="895"/>
    <w:link w:val="73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6">
    <w:name w:val="Heading 8"/>
    <w:basedOn w:val="894"/>
    <w:next w:val="894"/>
    <w:link w:val="73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7">
    <w:name w:val="Heading 8 Char"/>
    <w:basedOn w:val="895"/>
    <w:link w:val="736"/>
    <w:uiPriority w:val="9"/>
    <w:rPr>
      <w:rFonts w:ascii="Arial" w:hAnsi="Arial" w:eastAsia="Arial" w:cs="Arial"/>
      <w:i/>
      <w:iCs/>
      <w:sz w:val="22"/>
      <w:szCs w:val="22"/>
    </w:rPr>
  </w:style>
  <w:style w:type="paragraph" w:styleId="738">
    <w:name w:val="Heading 9"/>
    <w:basedOn w:val="894"/>
    <w:next w:val="894"/>
    <w:link w:val="73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>
    <w:name w:val="Heading 9 Char"/>
    <w:basedOn w:val="895"/>
    <w:link w:val="738"/>
    <w:uiPriority w:val="9"/>
    <w:rPr>
      <w:rFonts w:ascii="Arial" w:hAnsi="Arial" w:eastAsia="Arial" w:cs="Arial"/>
      <w:i/>
      <w:iCs/>
      <w:sz w:val="21"/>
      <w:szCs w:val="21"/>
    </w:rPr>
  </w:style>
  <w:style w:type="paragraph" w:styleId="740">
    <w:name w:val="Title"/>
    <w:basedOn w:val="894"/>
    <w:next w:val="894"/>
    <w:link w:val="74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1">
    <w:name w:val="Title Char"/>
    <w:basedOn w:val="895"/>
    <w:link w:val="740"/>
    <w:uiPriority w:val="10"/>
    <w:rPr>
      <w:sz w:val="48"/>
      <w:szCs w:val="48"/>
    </w:rPr>
  </w:style>
  <w:style w:type="paragraph" w:styleId="742">
    <w:name w:val="Subtitle"/>
    <w:basedOn w:val="894"/>
    <w:next w:val="894"/>
    <w:link w:val="743"/>
    <w:uiPriority w:val="11"/>
    <w:qFormat/>
    <w:pPr>
      <w:spacing w:before="200" w:after="200"/>
    </w:pPr>
    <w:rPr>
      <w:sz w:val="24"/>
      <w:szCs w:val="24"/>
    </w:rPr>
  </w:style>
  <w:style w:type="character" w:styleId="743">
    <w:name w:val="Subtitle Char"/>
    <w:basedOn w:val="895"/>
    <w:link w:val="742"/>
    <w:uiPriority w:val="11"/>
    <w:rPr>
      <w:sz w:val="24"/>
      <w:szCs w:val="24"/>
    </w:rPr>
  </w:style>
  <w:style w:type="paragraph" w:styleId="744">
    <w:name w:val="Quote"/>
    <w:basedOn w:val="894"/>
    <w:next w:val="894"/>
    <w:link w:val="745"/>
    <w:uiPriority w:val="29"/>
    <w:qFormat/>
    <w:pPr>
      <w:ind w:left="720" w:right="720"/>
    </w:pPr>
    <w:rPr>
      <w:i/>
    </w:rPr>
  </w:style>
  <w:style w:type="character" w:styleId="745">
    <w:name w:val="Quote Char"/>
    <w:link w:val="744"/>
    <w:uiPriority w:val="29"/>
    <w:rPr>
      <w:i/>
    </w:rPr>
  </w:style>
  <w:style w:type="paragraph" w:styleId="746">
    <w:name w:val="Intense Quote"/>
    <w:basedOn w:val="894"/>
    <w:next w:val="894"/>
    <w:link w:val="74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7">
    <w:name w:val="Intense Quote Char"/>
    <w:link w:val="746"/>
    <w:uiPriority w:val="30"/>
    <w:rPr>
      <w:i/>
    </w:rPr>
  </w:style>
  <w:style w:type="character" w:styleId="748">
    <w:name w:val="Header Char"/>
    <w:basedOn w:val="895"/>
    <w:link w:val="900"/>
    <w:uiPriority w:val="99"/>
  </w:style>
  <w:style w:type="character" w:styleId="749">
    <w:name w:val="Footer Char"/>
    <w:basedOn w:val="895"/>
    <w:link w:val="898"/>
    <w:uiPriority w:val="99"/>
  </w:style>
  <w:style w:type="paragraph" w:styleId="750">
    <w:name w:val="Caption"/>
    <w:basedOn w:val="894"/>
    <w:next w:val="894"/>
    <w:link w:val="7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1">
    <w:name w:val="Caption Char"/>
    <w:basedOn w:val="895"/>
    <w:link w:val="750"/>
    <w:uiPriority w:val="35"/>
    <w:rPr>
      <w:b/>
      <w:bCs/>
      <w:color w:val="4f81bd" w:themeColor="accent1"/>
      <w:sz w:val="18"/>
      <w:szCs w:val="18"/>
    </w:rPr>
  </w:style>
  <w:style w:type="table" w:styleId="752">
    <w:name w:val="Table Grid Light"/>
    <w:basedOn w:val="89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3">
    <w:name w:val="Plain Table 1"/>
    <w:basedOn w:val="89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>
    <w:name w:val="Plain Table 2"/>
    <w:basedOn w:val="89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5">
    <w:name w:val="Plain Table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6">
    <w:name w:val="Plain Table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Plain Table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8">
    <w:name w:val="Grid Table 1 Light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4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0">
    <w:name w:val="Grid Table 4 - Accent 1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1">
    <w:name w:val="Grid Table 4 - Accent 2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Grid Table 4 - Accent 3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3">
    <w:name w:val="Grid Table 4 - Accent 4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Grid Table 4 - Accent 5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5">
    <w:name w:val="Grid Table 4 - Accent 6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6">
    <w:name w:val="Grid Table 5 Dark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7">
    <w:name w:val="Grid Table 5 Dark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0">
    <w:name w:val="Grid Table 5 Dark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3">
    <w:name w:val="Grid Table 6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4">
    <w:name w:val="Grid Table 6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5">
    <w:name w:val="Grid Table 6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6">
    <w:name w:val="Grid Table 6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7">
    <w:name w:val="Grid Table 6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8">
    <w:name w:val="Grid Table 6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9">
    <w:name w:val="Grid Table 6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0">
    <w:name w:val="Grid Table 7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5">
    <w:name w:val="List Table 2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6">
    <w:name w:val="List Table 2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7">
    <w:name w:val="List Table 2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8">
    <w:name w:val="List Table 2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9">
    <w:name w:val="List Table 2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0">
    <w:name w:val="List Table 2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1">
    <w:name w:val="List Table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5 Dark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6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3">
    <w:name w:val="List Table 6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4">
    <w:name w:val="List Table 6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5">
    <w:name w:val="List Table 6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6">
    <w:name w:val="List Table 6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7">
    <w:name w:val="List Table 6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8">
    <w:name w:val="List Table 6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9">
    <w:name w:val="List Table 7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0">
    <w:name w:val="List Table 7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1">
    <w:name w:val="List Table 7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2">
    <w:name w:val="List Table 7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3">
    <w:name w:val="List Table 7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4">
    <w:name w:val="List Table 7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5">
    <w:name w:val="List Table 7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6">
    <w:name w:val="Lined - Accent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Lined - Accent 1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8">
    <w:name w:val="Lined - Accent 2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9">
    <w:name w:val="Lined - Accent 3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0">
    <w:name w:val="Lined - Accent 4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1">
    <w:name w:val="Lined - Accent 5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2">
    <w:name w:val="Lined - Accent 6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3">
    <w:name w:val="Bordered &amp; Lined - Accent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4">
    <w:name w:val="Bordered &amp; Lined - Accent 1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5">
    <w:name w:val="Bordered &amp; Lined - Accent 2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6">
    <w:name w:val="Bordered &amp; Lined - Accent 3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7">
    <w:name w:val="Bordered &amp; Lined - Accent 4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8">
    <w:name w:val="Bordered &amp; Lined - Accent 5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9">
    <w:name w:val="Bordered &amp; Lined - Accent 6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0">
    <w:name w:val="Bordered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1">
    <w:name w:val="Bordered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2">
    <w:name w:val="Bordered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3">
    <w:name w:val="Bordered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4">
    <w:name w:val="Bordered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5">
    <w:name w:val="Bordered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6">
    <w:name w:val="Bordered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7">
    <w:name w:val="footnote text"/>
    <w:basedOn w:val="894"/>
    <w:link w:val="878"/>
    <w:uiPriority w:val="99"/>
    <w:semiHidden/>
    <w:unhideWhenUsed/>
    <w:pPr>
      <w:spacing w:after="40" w:line="240" w:lineRule="auto"/>
    </w:pPr>
    <w:rPr>
      <w:sz w:val="18"/>
    </w:rPr>
  </w:style>
  <w:style w:type="character" w:styleId="878">
    <w:name w:val="Footnote Text Char"/>
    <w:link w:val="877"/>
    <w:uiPriority w:val="99"/>
    <w:rPr>
      <w:sz w:val="18"/>
    </w:rPr>
  </w:style>
  <w:style w:type="character" w:styleId="879">
    <w:name w:val="footnote reference"/>
    <w:basedOn w:val="895"/>
    <w:uiPriority w:val="99"/>
    <w:unhideWhenUsed/>
    <w:rPr>
      <w:vertAlign w:val="superscript"/>
    </w:rPr>
  </w:style>
  <w:style w:type="paragraph" w:styleId="880">
    <w:name w:val="endnote text"/>
    <w:basedOn w:val="894"/>
    <w:link w:val="881"/>
    <w:uiPriority w:val="99"/>
    <w:semiHidden/>
    <w:unhideWhenUsed/>
    <w:pPr>
      <w:spacing w:after="0" w:line="240" w:lineRule="auto"/>
    </w:pPr>
    <w:rPr>
      <w:sz w:val="20"/>
    </w:rPr>
  </w:style>
  <w:style w:type="character" w:styleId="881">
    <w:name w:val="Endnote Text Char"/>
    <w:link w:val="880"/>
    <w:uiPriority w:val="99"/>
    <w:rPr>
      <w:sz w:val="20"/>
    </w:rPr>
  </w:style>
  <w:style w:type="character" w:styleId="882">
    <w:name w:val="endnote reference"/>
    <w:basedOn w:val="895"/>
    <w:uiPriority w:val="99"/>
    <w:semiHidden/>
    <w:unhideWhenUsed/>
    <w:rPr>
      <w:vertAlign w:val="superscript"/>
    </w:rPr>
  </w:style>
  <w:style w:type="paragraph" w:styleId="883">
    <w:name w:val="toc 1"/>
    <w:basedOn w:val="894"/>
    <w:next w:val="894"/>
    <w:uiPriority w:val="39"/>
    <w:unhideWhenUsed/>
    <w:pPr>
      <w:ind w:left="0" w:right="0" w:firstLine="0"/>
      <w:spacing w:after="57"/>
    </w:pPr>
  </w:style>
  <w:style w:type="paragraph" w:styleId="884">
    <w:name w:val="toc 2"/>
    <w:basedOn w:val="894"/>
    <w:next w:val="894"/>
    <w:uiPriority w:val="39"/>
    <w:unhideWhenUsed/>
    <w:pPr>
      <w:ind w:left="283" w:right="0" w:firstLine="0"/>
      <w:spacing w:after="57"/>
    </w:pPr>
  </w:style>
  <w:style w:type="paragraph" w:styleId="885">
    <w:name w:val="toc 3"/>
    <w:basedOn w:val="894"/>
    <w:next w:val="894"/>
    <w:uiPriority w:val="39"/>
    <w:unhideWhenUsed/>
    <w:pPr>
      <w:ind w:left="567" w:right="0" w:firstLine="0"/>
      <w:spacing w:after="57"/>
    </w:pPr>
  </w:style>
  <w:style w:type="paragraph" w:styleId="886">
    <w:name w:val="toc 4"/>
    <w:basedOn w:val="894"/>
    <w:next w:val="894"/>
    <w:uiPriority w:val="39"/>
    <w:unhideWhenUsed/>
    <w:pPr>
      <w:ind w:left="850" w:right="0" w:firstLine="0"/>
      <w:spacing w:after="57"/>
    </w:pPr>
  </w:style>
  <w:style w:type="paragraph" w:styleId="887">
    <w:name w:val="toc 5"/>
    <w:basedOn w:val="894"/>
    <w:next w:val="894"/>
    <w:uiPriority w:val="39"/>
    <w:unhideWhenUsed/>
    <w:pPr>
      <w:ind w:left="1134" w:right="0" w:firstLine="0"/>
      <w:spacing w:after="57"/>
    </w:pPr>
  </w:style>
  <w:style w:type="paragraph" w:styleId="888">
    <w:name w:val="toc 6"/>
    <w:basedOn w:val="894"/>
    <w:next w:val="894"/>
    <w:uiPriority w:val="39"/>
    <w:unhideWhenUsed/>
    <w:pPr>
      <w:ind w:left="1417" w:right="0" w:firstLine="0"/>
      <w:spacing w:after="57"/>
    </w:pPr>
  </w:style>
  <w:style w:type="paragraph" w:styleId="889">
    <w:name w:val="toc 7"/>
    <w:basedOn w:val="894"/>
    <w:next w:val="894"/>
    <w:uiPriority w:val="39"/>
    <w:unhideWhenUsed/>
    <w:pPr>
      <w:ind w:left="1701" w:right="0" w:firstLine="0"/>
      <w:spacing w:after="57"/>
    </w:pPr>
  </w:style>
  <w:style w:type="paragraph" w:styleId="890">
    <w:name w:val="toc 8"/>
    <w:basedOn w:val="894"/>
    <w:next w:val="894"/>
    <w:uiPriority w:val="39"/>
    <w:unhideWhenUsed/>
    <w:pPr>
      <w:ind w:left="1984" w:right="0" w:firstLine="0"/>
      <w:spacing w:after="57"/>
    </w:pPr>
  </w:style>
  <w:style w:type="paragraph" w:styleId="891">
    <w:name w:val="toc 9"/>
    <w:basedOn w:val="894"/>
    <w:next w:val="894"/>
    <w:uiPriority w:val="39"/>
    <w:unhideWhenUsed/>
    <w:pPr>
      <w:ind w:left="2268" w:right="0" w:firstLine="0"/>
      <w:spacing w:after="57"/>
    </w:pPr>
  </w:style>
  <w:style w:type="paragraph" w:styleId="892">
    <w:name w:val="TOC Heading"/>
    <w:uiPriority w:val="39"/>
    <w:unhideWhenUsed/>
  </w:style>
  <w:style w:type="paragraph" w:styleId="893">
    <w:name w:val="table of figures"/>
    <w:basedOn w:val="894"/>
    <w:next w:val="894"/>
    <w:uiPriority w:val="99"/>
    <w:unhideWhenUsed/>
    <w:pPr>
      <w:spacing w:after="0" w:afterAutospacing="0"/>
    </w:pPr>
  </w:style>
  <w:style w:type="paragraph" w:styleId="894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95" w:default="1">
    <w:name w:val="Default Paragraph Font"/>
    <w:uiPriority w:val="1"/>
    <w:semiHidden/>
    <w:unhideWhenUsed/>
  </w:style>
  <w:style w:type="table" w:styleId="89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7" w:default="1">
    <w:name w:val="No List"/>
    <w:uiPriority w:val="99"/>
    <w:semiHidden/>
    <w:unhideWhenUsed/>
  </w:style>
  <w:style w:type="paragraph" w:styleId="898">
    <w:name w:val="Footer"/>
    <w:basedOn w:val="894"/>
    <w:link w:val="899"/>
    <w:pPr>
      <w:tabs>
        <w:tab w:val="center" w:pos="4153" w:leader="none"/>
        <w:tab w:val="right" w:pos="8306" w:leader="none"/>
      </w:tabs>
    </w:pPr>
  </w:style>
  <w:style w:type="character" w:styleId="899" w:customStyle="1">
    <w:name w:val="Нижний колонтитул Знак"/>
    <w:basedOn w:val="895"/>
    <w:link w:val="898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00">
    <w:name w:val="Header"/>
    <w:basedOn w:val="894"/>
    <w:link w:val="901"/>
    <w:pPr>
      <w:tabs>
        <w:tab w:val="center" w:pos="4677" w:leader="none"/>
        <w:tab w:val="right" w:pos="9355" w:leader="none"/>
      </w:tabs>
    </w:pPr>
  </w:style>
  <w:style w:type="character" w:styleId="901" w:customStyle="1">
    <w:name w:val="Верхний колонтитул Знак"/>
    <w:basedOn w:val="895"/>
    <w:link w:val="90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02">
    <w:name w:val="page number"/>
    <w:basedOn w:val="895"/>
  </w:style>
  <w:style w:type="character" w:styleId="903">
    <w:name w:val="Hyperlink"/>
    <w:rPr>
      <w:color w:val="0000ff"/>
      <w:u w:val="single"/>
    </w:rPr>
  </w:style>
  <w:style w:type="paragraph" w:styleId="904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05" w:customStyle="1">
    <w:name w:val="Normal_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6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907">
    <w:name w:val="No Spacing"/>
    <w:uiPriority w:val="1"/>
    <w:qFormat/>
    <w:pPr>
      <w:spacing w:after="0" w:line="240" w:lineRule="auto"/>
    </w:pPr>
    <w:rPr>
      <w:rFonts w:ascii="Times New Roman" w:hAnsi="Times New Roman" w:eastAsia="WenQuanYi Micro Hei" w:cs="Lohit Devanagari"/>
      <w:sz w:val="20"/>
      <w:szCs w:val="20"/>
      <w:lang w:eastAsia="zh-CN" w:bidi="hi-IN"/>
    </w:rPr>
  </w:style>
  <w:style w:type="paragraph" w:styleId="908">
    <w:name w:val="List Paragraph"/>
    <w:basedOn w:val="894"/>
    <w:link w:val="909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09" w:customStyle="1">
    <w:name w:val="Абзац списка Знак"/>
    <w:link w:val="908"/>
    <w:uiPriority w:val="34"/>
    <w:rPr>
      <w:rFonts w:ascii="Calibri" w:hAnsi="Calibri" w:eastAsia="Calibri" w:cs="Times New Roman"/>
    </w:rPr>
  </w:style>
  <w:style w:type="table" w:styleId="910">
    <w:name w:val="Table Grid"/>
    <w:basedOn w:val="896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11" w:customStyle="1">
    <w:name w:val="docdata"/>
    <w:basedOn w:val="895"/>
  </w:style>
  <w:style w:type="paragraph" w:styleId="912" w:customStyle="1">
    <w:name w:val="1529"/>
    <w:basedOn w:val="894"/>
    <w:pPr>
      <w:spacing w:before="100" w:beforeAutospacing="1" w:after="100" w:afterAutospacing="1"/>
    </w:pPr>
    <w:rPr>
      <w:sz w:val="24"/>
      <w:szCs w:val="24"/>
    </w:rPr>
  </w:style>
  <w:style w:type="paragraph" w:styleId="913">
    <w:name w:val="Normal (Web)"/>
    <w:basedOn w:val="894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paragraph" w:styleId="914" w:customStyle="1">
    <w:name w:val="1995"/>
    <w:basedOn w:val="894"/>
    <w:pPr>
      <w:spacing w:before="100" w:beforeAutospacing="1" w:after="100" w:afterAutospacing="1"/>
    </w:pPr>
    <w:rPr>
      <w:sz w:val="24"/>
      <w:szCs w:val="24"/>
    </w:rPr>
  </w:style>
  <w:style w:type="paragraph" w:styleId="915" w:customStyle="1">
    <w:name w:val="7617"/>
    <w:basedOn w:val="894"/>
    <w:pPr>
      <w:spacing w:before="100" w:beforeAutospacing="1" w:after="100" w:afterAutospacing="1"/>
    </w:pPr>
    <w:rPr>
      <w:sz w:val="24"/>
      <w:szCs w:val="24"/>
    </w:rPr>
  </w:style>
  <w:style w:type="paragraph" w:styleId="916">
    <w:name w:val="Balloon Text"/>
    <w:basedOn w:val="894"/>
    <w:link w:val="91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17" w:customStyle="1">
    <w:name w:val="Текст выноски Знак"/>
    <w:basedOn w:val="895"/>
    <w:link w:val="916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918" w:customStyle="1">
    <w:name w:val="Normal_0_0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19" w:customStyle="1">
    <w:name w:val="Normal_2"/>
    <w:next w:val="862"/>
    <w:link w:val="840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0" w:customStyle="1">
    <w:name w:val="Normal_3"/>
    <w:next w:val="865"/>
    <w:link w:val="840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1" w:customStyle="1">
    <w:name w:val="Normal_10"/>
    <w:next w:val="867"/>
    <w:link w:val="840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2" w:customStyle="1">
    <w:name w:val="Normal_4"/>
    <w:next w:val="869"/>
    <w:link w:val="840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3" w:customStyle="1">
    <w:name w:val="Normal_7"/>
    <w:next w:val="882"/>
    <w:link w:val="840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4" w:customStyle="1">
    <w:name w:val="Normal_8"/>
    <w:next w:val="885"/>
    <w:link w:val="840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5" w:customStyle="1">
    <w:name w:val="Normal_9"/>
    <w:next w:val="888"/>
    <w:link w:val="840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6" w:customStyle="1">
    <w:name w:val="Normal_6"/>
    <w:next w:val="877"/>
    <w:link w:val="840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7" w:customStyle="1">
    <w:name w:val="Normal_5"/>
    <w:next w:val="872"/>
    <w:link w:val="840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8" w:customStyle="1">
    <w:name w:val="Абзац 3"/>
    <w:qFormat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Theme="minorEastAsia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997" w:customStyle="1">
    <w:name w:val="Header_0"/>
    <w:basedOn w:val="852"/>
    <w:next w:val="851"/>
    <w:link w:val="853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tabs>
        <w:tab w:val="center" w:pos="4677" w:leader="none"/>
        <w:tab w:val="right" w:pos="9355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https://www.ogk2.ru" TargetMode="External"/><Relationship Id="rId12" Type="http://schemas.openxmlformats.org/officeDocument/2006/relationships/hyperlink" Target="https://www.e-disclosure.ru/portal/company.aspx?id=72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Р7-Офис/2026.1.3.2139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Палинова Екатерина Александровна</dc:creator>
  <cp:keywords/>
  <dc:description/>
  <cp:lastModifiedBy>golubeva.valentina</cp:lastModifiedBy>
  <cp:revision>7</cp:revision>
  <dcterms:created xsi:type="dcterms:W3CDTF">2025-06-25T13:09:00Z</dcterms:created>
  <dcterms:modified xsi:type="dcterms:W3CDTF">2026-06-19T09:24:33Z</dcterms:modified>
</cp:coreProperties>
</file>