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D0" w:rsidRPr="00427CD0" w:rsidRDefault="00427CD0" w:rsidP="00427CD0">
      <w:pPr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7CD0" w:rsidRPr="00427CD0" w:rsidRDefault="00427CD0" w:rsidP="00427CD0">
      <w:pPr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7C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Сведения, оказывающие, по мнению эмитента, существенное влияние на стоимость его эмиссионных ценных бумаг</w:t>
      </w:r>
    </w:p>
    <w:p w:rsidR="00427CD0" w:rsidRPr="00427CD0" w:rsidRDefault="00427CD0" w:rsidP="00427CD0">
      <w:pPr>
        <w:spacing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27CD0">
        <w:rPr>
          <w:rFonts w:ascii="Arial" w:eastAsia="Times New Roman" w:hAnsi="Arial" w:cs="Arial"/>
          <w:sz w:val="18"/>
          <w:szCs w:val="18"/>
          <w:lang w:eastAsia="ru-RU"/>
        </w:rPr>
        <w:t>Сообщение о сведениях, оказывающих, по мнению эмитента, существенное влияние на стоимость его эмиссионных ценных бумаг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 Общие сведения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1.1. Полное фирменное наименование эмитента Открытое акционерное общество «Вторая генерирующая компания оптового рынка электроэнергии»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1.2. Сокращенное фирменное наименование эмитента ОАО «ОГК-2»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1.3. Место нахождения эмитента 356128, Российская Федерация, Ставропольский край, </w:t>
      </w:r>
      <w:proofErr w:type="spellStart"/>
      <w:r w:rsidRPr="00427CD0">
        <w:rPr>
          <w:rFonts w:ascii="Arial" w:eastAsia="Times New Roman" w:hAnsi="Arial" w:cs="Arial"/>
          <w:sz w:val="18"/>
          <w:szCs w:val="18"/>
          <w:lang w:eastAsia="ru-RU"/>
        </w:rPr>
        <w:t>Изобильненский</w:t>
      </w:r>
      <w:proofErr w:type="spellEnd"/>
      <w:r w:rsidRPr="00427CD0">
        <w:rPr>
          <w:rFonts w:ascii="Arial" w:eastAsia="Times New Roman" w:hAnsi="Arial" w:cs="Arial"/>
          <w:sz w:val="18"/>
          <w:szCs w:val="18"/>
          <w:lang w:eastAsia="ru-RU"/>
        </w:rPr>
        <w:t xml:space="preserve"> район, поселок </w:t>
      </w:r>
      <w:proofErr w:type="spellStart"/>
      <w:r w:rsidRPr="00427CD0">
        <w:rPr>
          <w:rFonts w:ascii="Arial" w:eastAsia="Times New Roman" w:hAnsi="Arial" w:cs="Arial"/>
          <w:sz w:val="18"/>
          <w:szCs w:val="18"/>
          <w:lang w:eastAsia="ru-RU"/>
        </w:rPr>
        <w:t>Солнечнодольск</w:t>
      </w:r>
      <w:proofErr w:type="spellEnd"/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1.4. ОГРН эмитента 1052600002180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1.5. ИНН эмитента 2607018122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1.6. Уникальный код эмитента, присвоенный регистрирующим органом 65105-D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 http://www.ogk2.ru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</w:r>
      <w:bookmarkStart w:id="0" w:name="_GoBack"/>
      <w:bookmarkEnd w:id="0"/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2. Содержание сообщения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“О направлении (подаче) эмитентом заявления на государственную регистрацию отчета об итогах дополнительного выпуска эмиссионных ценных бумаг”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2.1.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направление (подача) эмитентом в ФСФР России заявления на государственную регистрацию отчета об итогах выпуска эмиссионных ценных бумаг.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2.2. Вид, категория (тип), серия и иные идентификационные признаки ценных бумаг: процентные документарные неконвертируемые облигации на предъявителя серии 02 с обязательным централизованным хранением со сроком погашения 19 апреля 2012 г.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2.3. Дата наступления соответствующего события (совершения действия): 23 ноября 2011 г.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3. Подпись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3.1. Начальник Управления корпоративной 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политики и собственности ОАО «ОГК-2» 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>на основании доверенности от 20.07.2011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№ 308/2010 Е.Н. Егорова </w:t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427CD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3.2. Дата “ 23 ” ноября 20 11 г. М.П. </w:t>
      </w:r>
    </w:p>
    <w:p w:rsidR="00720443" w:rsidRDefault="00720443"/>
    <w:sectPr w:rsidR="0072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D0"/>
    <w:rsid w:val="00427CD0"/>
    <w:rsid w:val="0072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CD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27CD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7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CD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27CD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7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</w:div>
                    <w:div w:id="451436054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2014-10-21T08:14:00Z</dcterms:created>
  <dcterms:modified xsi:type="dcterms:W3CDTF">2014-10-21T08:16:00Z</dcterms:modified>
</cp:coreProperties>
</file>