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32" w:rsidRDefault="003C034A">
      <w:pPr>
        <w:ind w:left="-284"/>
        <w:contextualSpacing/>
        <w:jc w:val="center"/>
        <w:rPr>
          <w:rFonts w:ascii="Tempora LGC Uni" w:hAnsi="Tempora LGC Uni" w:cs="Tempora LGC Uni"/>
          <w:b/>
          <w:bCs/>
          <w:color w:val="000000"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</w:t>
      </w:r>
      <w:proofErr w:type="gramStart"/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факте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br/>
        <w:t>«</w:t>
      </w:r>
      <w:proofErr w:type="gramEnd"/>
      <w:r>
        <w:rPr>
          <w:rFonts w:ascii="Tempora LGC Uni" w:eastAsia="Tempora LGC Uni" w:hAnsi="Tempora LGC Uni" w:cs="Tempora LGC Uni"/>
          <w:b/>
          <w:color w:val="000000"/>
          <w:sz w:val="22"/>
          <w:szCs w:val="22"/>
        </w:rPr>
        <w:t>Об отдельных решениях, принятых советом директоров эмитента»</w:t>
      </w:r>
    </w:p>
    <w:p w:rsidR="00302A32" w:rsidRDefault="00302A32">
      <w:pPr>
        <w:ind w:left="-284"/>
        <w:contextualSpacing/>
        <w:jc w:val="center"/>
        <w:rPr>
          <w:rFonts w:ascii="Tempora LGC Uni" w:hAnsi="Tempora LGC Uni" w:cs="Tempora LGC Uni"/>
          <w:b/>
          <w:color w:val="000000"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302A32">
        <w:tc>
          <w:tcPr>
            <w:tcW w:w="10348" w:type="dxa"/>
            <w:gridSpan w:val="2"/>
          </w:tcPr>
          <w:p w:rsidR="00302A32" w:rsidRDefault="003C034A">
            <w:pPr>
              <w:ind w:left="-61"/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302A32">
        <w:trPr>
          <w:trHeight w:val="634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Публичное акционерное общество </w:t>
            </w:r>
          </w:p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«Вторая генерирующая компания оптового рынка электроэнергии»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196605, г. Санкт-Петербург,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вн.тер.г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поселок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Шушары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36-Н,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 701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1052600002180</w:t>
            </w:r>
          </w:p>
        </w:tc>
      </w:tr>
      <w:tr w:rsidR="00302A32">
        <w:trPr>
          <w:trHeight w:val="70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2607018122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65105-D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F4509A">
            <w:pPr>
              <w:ind w:right="57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8" w:tooltip="https://www.ogk2.ru" w:history="1"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://www.ogk2.ru</w:t>
              </w:r>
            </w:hyperlink>
            <w:r w:rsidR="003C034A">
              <w:rPr>
                <w:rFonts w:ascii="Tempora LGC Uni" w:eastAsia="Tempora LGC Uni" w:hAnsi="Tempora LGC Uni" w:cs="Tempora LGC Uni"/>
                <w:b/>
                <w:bCs/>
                <w:iCs/>
                <w:sz w:val="22"/>
                <w:szCs w:val="22"/>
              </w:rPr>
              <w:t>,</w:t>
            </w:r>
          </w:p>
          <w:p w:rsidR="00302A32" w:rsidRDefault="00F4509A">
            <w:pPr>
              <w:ind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9" w:tooltip="https://www.e-disclosure.ru/portal/company.aspx?id=7234" w:history="1"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://www.e-disclosure.ru/portal/company.aspx?id=7234</w:t>
              </w:r>
            </w:hyperlink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2" w:type="dxa"/>
            <w:shd w:val="clear" w:color="FFFFFF" w:fill="FFFFFF"/>
          </w:tcPr>
          <w:p w:rsidR="00302A32" w:rsidRDefault="000676D0" w:rsidP="000676D0">
            <w:pPr>
              <w:ind w:right="85"/>
              <w:contextualSpacing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08.04</w:t>
            </w:r>
            <w:r w:rsidR="003C034A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</w:tr>
    </w:tbl>
    <w:p w:rsidR="00302A32" w:rsidRDefault="00302A32">
      <w:pPr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302A32">
        <w:tc>
          <w:tcPr>
            <w:tcW w:w="10343" w:type="dxa"/>
          </w:tcPr>
          <w:p w:rsidR="00302A32" w:rsidRDefault="003C034A"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302A32" w:rsidTr="000676D0">
        <w:trPr>
          <w:trHeight w:val="2400"/>
        </w:trPr>
        <w:tc>
          <w:tcPr>
            <w:tcW w:w="10343" w:type="dxa"/>
          </w:tcPr>
          <w:p w:rsidR="00302A32" w:rsidRDefault="003C034A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2.1. </w:t>
            </w:r>
            <w:r>
              <w:rPr>
                <w:rFonts w:ascii="Tempora LGC Uni" w:eastAsiaTheme="minorHAnsi" w:hAnsi="Tempora LGC Uni" w:cs="Tempora LGC Uni"/>
                <w:sz w:val="22"/>
                <w:szCs w:val="22"/>
                <w:lang w:eastAsia="en-US"/>
              </w:rPr>
              <w:t xml:space="preserve">Сведения о кворуме заседания Совета директоров эмитента: </w:t>
            </w:r>
            <w:r w:rsidR="000676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в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</w:p>
          <w:p w:rsidR="00302A32" w:rsidRDefault="003C034A">
            <w:pPr>
              <w:tabs>
                <w:tab w:val="left" w:pos="547"/>
              </w:tabs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0676D0" w:rsidRPr="004A031B" w:rsidRDefault="000676D0" w:rsidP="000676D0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0676D0" w:rsidRPr="004A031B" w:rsidRDefault="000676D0" w:rsidP="000676D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ind w:left="251" w:hanging="251"/>
              <w:contextualSpacing/>
              <w:jc w:val="both"/>
              <w:rPr>
                <w:rFonts w:ascii="Tempora LGC Uni" w:eastAsia="Calibri" w:hAnsi="Tempora LGC Uni" w:cs="Tempora LGC Uni"/>
                <w:sz w:val="21"/>
                <w:szCs w:val="21"/>
                <w:lang w:eastAsia="en-US"/>
              </w:rPr>
            </w:pPr>
            <w:r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  <w:lang w:eastAsia="en-US"/>
              </w:rPr>
              <w:t>Об определении закупочной политики в Обществе.</w:t>
            </w:r>
          </w:p>
          <w:p w:rsidR="000676D0" w:rsidRPr="004A031B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1.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. </w:t>
            </w:r>
            <w:r w:rsidRPr="000676D0">
              <w:rPr>
                <w:rFonts w:ascii="Tempora LGC Uni" w:eastAsia="Calibri" w:hAnsi="Tempora LGC Uni" w:cs="Tempora LGC Uni"/>
                <w:sz w:val="21"/>
                <w:szCs w:val="21"/>
                <w:lang w:eastAsia="en-US"/>
              </w:rPr>
              <w:t>Об утверждении Годовой комплексной программы закупок ПАО «ОГК-2» под нужды 2026 года (2 этап).</w:t>
            </w: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</w:t>
            </w:r>
          </w:p>
          <w:p w:rsidR="000676D0" w:rsidRPr="004A031B" w:rsidRDefault="000676D0" w:rsidP="000676D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0676D0" w:rsidRPr="004A031B" w:rsidRDefault="000676D0" w:rsidP="000676D0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0676D0" w:rsidRPr="000676D0" w:rsidRDefault="000676D0" w:rsidP="000676D0">
            <w:pPr>
              <w:pStyle w:val="afd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1"/>
              </w:tabs>
              <w:spacing w:before="23" w:after="23" w:line="57" w:lineRule="atLeast"/>
              <w:ind w:left="0" w:firstLine="0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Годовую комплексную программу закупок Общества под нужды 2026 года (2 этап)</w:t>
            </w:r>
            <w:r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1.1 к решению Совета директоров.</w:t>
            </w:r>
          </w:p>
          <w:p w:rsidR="000676D0" w:rsidRPr="000676D0" w:rsidRDefault="000676D0" w:rsidP="000676D0">
            <w:pPr>
              <w:pStyle w:val="afd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1"/>
              </w:tabs>
              <w:spacing w:before="23" w:after="23" w:line="57" w:lineRule="atLeast"/>
              <w:ind w:left="0" w:firstLine="0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0676D0">
              <w:rPr>
                <w:rFonts w:ascii="Tempora LGC Uni" w:hAnsi="Tempora LGC Uni" w:cs="Tempora LGC Uni"/>
                <w:sz w:val="21"/>
                <w:szCs w:val="21"/>
              </w:rPr>
              <w:t>Поручить менеджменту Общества обеспечить размещение Плана закупки в Единой информационной системе в соответствии с Постановлением Правительства Российской Федерации от 10.09.2012 № 908 «Об утверждении Положения о размещении в Единой информационной системе информации о закупке».</w:t>
            </w:r>
          </w:p>
          <w:p w:rsidR="000676D0" w:rsidRPr="004A031B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15"/>
                <w:szCs w:val="21"/>
              </w:rPr>
            </w:pPr>
          </w:p>
          <w:p w:rsidR="000676D0" w:rsidRPr="004A031B" w:rsidRDefault="000676D0" w:rsidP="000676D0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0676D0" w:rsidRPr="004A031B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1.2. </w:t>
            </w:r>
            <w:r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 внесении изменений в Годовую комплексную программу закупок Общества под нужды 2026 года.</w:t>
            </w:r>
          </w:p>
          <w:p w:rsidR="000676D0" w:rsidRPr="004A031B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Результаты голосования: </w:t>
            </w:r>
          </w:p>
          <w:p w:rsidR="000676D0" w:rsidRPr="004A031B" w:rsidRDefault="000676D0" w:rsidP="000676D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0676D0" w:rsidRPr="004A031B" w:rsidRDefault="000676D0" w:rsidP="000676D0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0676D0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</w:pPr>
            <w:r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корректировку Годовой комплексной программы закупок Общества под нужды 2026 года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1.2 к решению Совета директоров.</w:t>
            </w:r>
          </w:p>
          <w:p w:rsidR="000676D0" w:rsidRPr="000676D0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</w:pPr>
          </w:p>
          <w:p w:rsidR="000676D0" w:rsidRDefault="000676D0" w:rsidP="000676D0">
            <w:pPr>
              <w:pStyle w:val="25"/>
              <w:spacing w:before="11" w:after="11"/>
              <w:rPr>
                <w:rFonts w:ascii="Tempora LGC Uni" w:hAnsi="Tempora LGC Uni" w:cs="Tempora LGC Uni"/>
                <w:sz w:val="22"/>
              </w:rPr>
            </w:pPr>
            <w:r>
              <w:rPr>
                <w:rFonts w:ascii="Tempora LGC Uni" w:eastAsia="Tempora LGC Uni" w:hAnsi="Tempora LGC Uni" w:cs="Tempora LGC Uni"/>
                <w:sz w:val="22"/>
              </w:rPr>
              <w:t>Вопрос:</w:t>
            </w:r>
          </w:p>
          <w:p w:rsidR="000676D0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 </w:t>
            </w:r>
            <w:r w:rsidRPr="000676D0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Об утверждении Плана мероприятий по повышению операционной эффективности и оптимизации р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асходов ПАО «ОГК-2» на 2026 год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</w:t>
            </w:r>
          </w:p>
          <w:p w:rsidR="000676D0" w:rsidRDefault="000676D0" w:rsidP="000676D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pacing w:before="11" w:after="11"/>
              <w:ind w:right="113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За – 11, </w:t>
            </w:r>
            <w:proofErr w:type="gramStart"/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>Против</w:t>
            </w:r>
            <w:proofErr w:type="gramEnd"/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 – 0, Воздержался – 0, не учитывались при голосовании – 0.</w:t>
            </w:r>
          </w:p>
          <w:p w:rsidR="000676D0" w:rsidRDefault="000676D0" w:rsidP="000676D0">
            <w:pPr>
              <w:pStyle w:val="25"/>
              <w:spacing w:before="11" w:after="11"/>
              <w:rPr>
                <w:rFonts w:ascii="Tempora LGC Uni" w:hAnsi="Tempora LGC Uni" w:cs="Tempora LGC Uni"/>
                <w:sz w:val="22"/>
              </w:rPr>
            </w:pPr>
            <w:r>
              <w:rPr>
                <w:rFonts w:ascii="Tempora LGC Uni" w:eastAsia="Tempora LGC Uni" w:hAnsi="Tempora LGC Uni" w:cs="Tempora LGC Uni"/>
                <w:sz w:val="22"/>
              </w:rPr>
              <w:t>Решение:</w:t>
            </w:r>
          </w:p>
          <w:p w:rsidR="00302A32" w:rsidRPr="000676D0" w:rsidRDefault="000676D0" w:rsidP="000676D0">
            <w:pPr>
              <w:pStyle w:val="afd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1"/>
              </w:tabs>
              <w:spacing w:before="23" w:after="23" w:line="57" w:lineRule="atLeast"/>
              <w:ind w:left="0" w:firstLine="0"/>
              <w:jc w:val="both"/>
              <w:rPr>
                <w:rFonts w:ascii="Tempora LGC Uni" w:hAnsi="Tempora LGC Uni" w:cs="Tempora LGC Uni"/>
              </w:rPr>
            </w:pPr>
            <w:r w:rsidRPr="000676D0">
              <w:rPr>
                <w:rFonts w:ascii="Tempora LGC Uni" w:eastAsia="Tempora LGC Uni" w:hAnsi="Tempora LGC Uni" w:cs="Tempora LGC Uni"/>
                <w:color w:val="000000"/>
              </w:rPr>
              <w:t>Утвердить План мероприятий по повышению операционной эффективности и оптимизации расходов ПАО «ОГК-2» на 2026 год с показателем экономического эффекта</w:t>
            </w:r>
            <w:r>
              <w:rPr>
                <w:rFonts w:ascii="Tempora LGC Uni" w:eastAsia="Tempora LGC Uni" w:hAnsi="Tempora LGC Uni" w:cs="Tempora LGC Uni"/>
                <w:color w:val="000000"/>
              </w:rPr>
              <w:t xml:space="preserve"> 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в соответствии с Приложением № 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2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.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к решению Совета директоров.</w:t>
            </w:r>
          </w:p>
          <w:p w:rsidR="000676D0" w:rsidRPr="000676D0" w:rsidRDefault="000676D0" w:rsidP="000676D0">
            <w:pPr>
              <w:pStyle w:val="afd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1"/>
              </w:tabs>
              <w:spacing w:before="23" w:after="23" w:line="57" w:lineRule="atLeast"/>
              <w:ind w:left="0" w:firstLine="0"/>
              <w:jc w:val="both"/>
              <w:rPr>
                <w:rFonts w:ascii="Tempora LGC Uni" w:hAnsi="Tempora LGC Uni" w:cs="Tempora LGC Uni"/>
              </w:rPr>
            </w:pPr>
            <w:r w:rsidRPr="000676D0">
              <w:rPr>
                <w:rFonts w:ascii="Tempora LGC Uni" w:hAnsi="Tempora LGC Uni" w:cs="Tempora LGC Uni"/>
              </w:rPr>
              <w:t>Утвердить квартальные показатели Плана мероприятий по повышению операционной эффективности и оптимизации расходов ПАО «ОГ</w:t>
            </w:r>
            <w:r>
              <w:rPr>
                <w:rFonts w:ascii="Tempora LGC Uni" w:hAnsi="Tempora LGC Uni" w:cs="Tempora LGC Uni"/>
              </w:rPr>
              <w:t xml:space="preserve">К-2» на 2026 год в соответствии с Приложением </w:t>
            </w:r>
            <w:r w:rsidRPr="000676D0">
              <w:rPr>
                <w:rFonts w:ascii="Tempora LGC Uni" w:hAnsi="Tempora LGC Uni" w:cs="Tempora LGC Uni"/>
              </w:rPr>
              <w:t>№ 2.2 к решению Совета директоров.</w:t>
            </w:r>
          </w:p>
          <w:p w:rsidR="00302A32" w:rsidRDefault="00302A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Дата проведения заседания совета директоров эмитента, на котором приняты решения: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 </w:t>
            </w:r>
            <w:r w:rsidR="00F4509A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08.04</w:t>
            </w:r>
            <w:bookmarkStart w:id="0" w:name="_GoBack"/>
            <w:bookmarkEnd w:id="0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.2026</w:t>
            </w:r>
          </w:p>
          <w:p w:rsidR="00302A32" w:rsidRDefault="003C034A" w:rsidP="000676D0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п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ротокол от </w:t>
            </w:r>
            <w:r w:rsidR="000676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08.04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.2026 № 37</w:t>
            </w:r>
            <w:r w:rsidR="000676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5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</w:t>
            </w:r>
          </w:p>
        </w:tc>
      </w:tr>
    </w:tbl>
    <w:p w:rsidR="00302A32" w:rsidRDefault="00302A32">
      <w:pPr>
        <w:tabs>
          <w:tab w:val="left" w:pos="2895"/>
        </w:tabs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7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339"/>
        <w:gridCol w:w="567"/>
        <w:gridCol w:w="1022"/>
        <w:gridCol w:w="416"/>
        <w:gridCol w:w="307"/>
        <w:gridCol w:w="1209"/>
        <w:gridCol w:w="1338"/>
        <w:gridCol w:w="462"/>
        <w:gridCol w:w="3071"/>
        <w:gridCol w:w="538"/>
      </w:tblGrid>
      <w:tr w:rsidR="00302A32">
        <w:trPr>
          <w:cantSplit/>
          <w:trHeight w:val="248"/>
        </w:trPr>
        <w:tc>
          <w:tcPr>
            <w:tcW w:w="10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302A32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302A32" w:rsidRDefault="003C034A">
            <w:pPr>
              <w:pStyle w:val="aff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Начальник Управления корпоративных и имущественных отношений, действующий на основании доверенности №78/362-н/78-2025-3-1278 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02A32" w:rsidRDefault="00302A32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302A32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  <w:trHeight w:val="234"/>
        </w:trPr>
        <w:tc>
          <w:tcPr>
            <w:tcW w:w="1079" w:type="dxa"/>
            <w:tcBorders>
              <w:left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3.2. Дата  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:rsidR="00302A32" w:rsidRDefault="000676D0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2"/>
                <w:szCs w:val="22"/>
              </w:rPr>
              <w:t>09</w:t>
            </w:r>
          </w:p>
        </w:tc>
        <w:tc>
          <w:tcPr>
            <w:tcW w:w="567" w:type="dxa"/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  <w:vAlign w:val="bottom"/>
          </w:tcPr>
          <w:p w:rsidR="00302A32" w:rsidRDefault="003C034A" w:rsidP="000676D0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</w:t>
            </w:r>
            <w:r w:rsidR="000676D0">
              <w:rPr>
                <w:rFonts w:ascii="Tempora LGC Uni" w:eastAsia="Tempora LGC Uni" w:hAnsi="Tempora LGC Uni" w:cs="Tempora LGC Uni"/>
                <w:sz w:val="22"/>
                <w:szCs w:val="22"/>
              </w:rPr>
              <w:t>апреля</w:t>
            </w:r>
          </w:p>
        </w:tc>
        <w:tc>
          <w:tcPr>
            <w:tcW w:w="416" w:type="dxa"/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</w:trPr>
        <w:tc>
          <w:tcPr>
            <w:tcW w:w="49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302A32" w:rsidRDefault="00302A32">
      <w:pPr>
        <w:rPr>
          <w:rFonts w:ascii="Tempora LGC Uni" w:hAnsi="Tempora LGC Uni" w:cs="Tempora LGC Uni"/>
          <w:sz w:val="22"/>
          <w:szCs w:val="22"/>
        </w:rPr>
      </w:pPr>
    </w:p>
    <w:sectPr w:rsidR="00302A32">
      <w:headerReference w:type="even" r:id="rId10"/>
      <w:footerReference w:type="default" r:id="rId11"/>
      <w:pgSz w:w="11906" w:h="16838"/>
      <w:pgMar w:top="284" w:right="851" w:bottom="709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32" w:rsidRDefault="003C034A">
      <w:r>
        <w:separator/>
      </w:r>
    </w:p>
  </w:endnote>
  <w:endnote w:type="continuationSeparator" w:id="0">
    <w:p w:rsidR="00302A32" w:rsidRDefault="003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640CF3">
      <w:rPr>
        <w:noProof/>
      </w:rPr>
      <w:t>2</w:t>
    </w:r>
    <w:r>
      <w:fldChar w:fldCharType="end"/>
    </w:r>
  </w:p>
  <w:p w:rsidR="00302A32" w:rsidRDefault="00302A3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32" w:rsidRDefault="003C034A">
      <w:r>
        <w:separator/>
      </w:r>
    </w:p>
  </w:footnote>
  <w:footnote w:type="continuationSeparator" w:id="0">
    <w:p w:rsidR="00302A32" w:rsidRDefault="003C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3</w:t>
    </w:r>
    <w:r>
      <w:rPr>
        <w:rStyle w:val="af5"/>
      </w:rPr>
      <w:fldChar w:fldCharType="end"/>
    </w:r>
  </w:p>
  <w:p w:rsidR="00302A32" w:rsidRDefault="00302A3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223"/>
    <w:multiLevelType w:val="hybridMultilevel"/>
    <w:tmpl w:val="E30A9A4C"/>
    <w:lvl w:ilvl="0" w:tplc="1C10DEC6">
      <w:start w:val="1"/>
      <w:numFmt w:val="decimal"/>
      <w:lvlText w:val="%1."/>
      <w:lvlJc w:val="left"/>
      <w:pPr>
        <w:ind w:left="720" w:hanging="360"/>
      </w:pPr>
      <w:rPr>
        <w:rFonts w:eastAsia="Tempora LGC Un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B7D"/>
    <w:multiLevelType w:val="hybridMultilevel"/>
    <w:tmpl w:val="C6CE73A4"/>
    <w:lvl w:ilvl="0" w:tplc="DF0C5D06">
      <w:start w:val="1"/>
      <w:numFmt w:val="decimal"/>
      <w:lvlText w:val="%1."/>
      <w:lvlJc w:val="left"/>
      <w:pPr>
        <w:ind w:left="709" w:hanging="360"/>
      </w:pPr>
    </w:lvl>
    <w:lvl w:ilvl="1" w:tplc="49B4E63E">
      <w:start w:val="1"/>
      <w:numFmt w:val="lowerLetter"/>
      <w:lvlText w:val="%2."/>
      <w:lvlJc w:val="left"/>
      <w:pPr>
        <w:ind w:left="1429" w:hanging="360"/>
      </w:pPr>
    </w:lvl>
    <w:lvl w:ilvl="2" w:tplc="7258FE96">
      <w:start w:val="1"/>
      <w:numFmt w:val="lowerRoman"/>
      <w:lvlText w:val="%3."/>
      <w:lvlJc w:val="right"/>
      <w:pPr>
        <w:ind w:left="2149" w:hanging="180"/>
      </w:pPr>
    </w:lvl>
    <w:lvl w:ilvl="3" w:tplc="66CAB0D2">
      <w:start w:val="1"/>
      <w:numFmt w:val="decimal"/>
      <w:lvlText w:val="%4."/>
      <w:lvlJc w:val="left"/>
      <w:pPr>
        <w:ind w:left="2869" w:hanging="360"/>
      </w:pPr>
    </w:lvl>
    <w:lvl w:ilvl="4" w:tplc="04CA0FEE">
      <w:start w:val="1"/>
      <w:numFmt w:val="lowerLetter"/>
      <w:lvlText w:val="%5."/>
      <w:lvlJc w:val="left"/>
      <w:pPr>
        <w:ind w:left="3589" w:hanging="360"/>
      </w:pPr>
    </w:lvl>
    <w:lvl w:ilvl="5" w:tplc="714617AC">
      <w:start w:val="1"/>
      <w:numFmt w:val="lowerRoman"/>
      <w:lvlText w:val="%6."/>
      <w:lvlJc w:val="right"/>
      <w:pPr>
        <w:ind w:left="4309" w:hanging="180"/>
      </w:pPr>
    </w:lvl>
    <w:lvl w:ilvl="6" w:tplc="8A00A43C">
      <w:start w:val="1"/>
      <w:numFmt w:val="decimal"/>
      <w:lvlText w:val="%7."/>
      <w:lvlJc w:val="left"/>
      <w:pPr>
        <w:ind w:left="5029" w:hanging="360"/>
      </w:pPr>
    </w:lvl>
    <w:lvl w:ilvl="7" w:tplc="2BD02092">
      <w:start w:val="1"/>
      <w:numFmt w:val="lowerLetter"/>
      <w:lvlText w:val="%8."/>
      <w:lvlJc w:val="left"/>
      <w:pPr>
        <w:ind w:left="5749" w:hanging="360"/>
      </w:pPr>
    </w:lvl>
    <w:lvl w:ilvl="8" w:tplc="C1F432B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82670B1"/>
    <w:multiLevelType w:val="hybridMultilevel"/>
    <w:tmpl w:val="12AE1874"/>
    <w:lvl w:ilvl="0" w:tplc="62C6D348">
      <w:start w:val="1"/>
      <w:numFmt w:val="decimal"/>
      <w:lvlText w:val="%1."/>
      <w:lvlJc w:val="left"/>
      <w:pPr>
        <w:ind w:left="709" w:hanging="360"/>
      </w:pPr>
    </w:lvl>
    <w:lvl w:ilvl="1" w:tplc="04685ADC">
      <w:start w:val="1"/>
      <w:numFmt w:val="lowerLetter"/>
      <w:lvlText w:val="%2."/>
      <w:lvlJc w:val="left"/>
      <w:pPr>
        <w:ind w:left="1429" w:hanging="360"/>
      </w:pPr>
    </w:lvl>
    <w:lvl w:ilvl="2" w:tplc="46BACBD4">
      <w:start w:val="1"/>
      <w:numFmt w:val="lowerRoman"/>
      <w:lvlText w:val="%3."/>
      <w:lvlJc w:val="right"/>
      <w:pPr>
        <w:ind w:left="2149" w:hanging="180"/>
      </w:pPr>
    </w:lvl>
    <w:lvl w:ilvl="3" w:tplc="1B8C4CEE">
      <w:start w:val="1"/>
      <w:numFmt w:val="decimal"/>
      <w:lvlText w:val="%4."/>
      <w:lvlJc w:val="left"/>
      <w:pPr>
        <w:ind w:left="2869" w:hanging="360"/>
      </w:pPr>
    </w:lvl>
    <w:lvl w:ilvl="4" w:tplc="C8CCBE3A">
      <w:start w:val="1"/>
      <w:numFmt w:val="lowerLetter"/>
      <w:lvlText w:val="%5."/>
      <w:lvlJc w:val="left"/>
      <w:pPr>
        <w:ind w:left="3589" w:hanging="360"/>
      </w:pPr>
    </w:lvl>
    <w:lvl w:ilvl="5" w:tplc="5464F9AC">
      <w:start w:val="1"/>
      <w:numFmt w:val="lowerRoman"/>
      <w:lvlText w:val="%6."/>
      <w:lvlJc w:val="right"/>
      <w:pPr>
        <w:ind w:left="4309" w:hanging="180"/>
      </w:pPr>
    </w:lvl>
    <w:lvl w:ilvl="6" w:tplc="F7D65566">
      <w:start w:val="1"/>
      <w:numFmt w:val="decimal"/>
      <w:lvlText w:val="%7."/>
      <w:lvlJc w:val="left"/>
      <w:pPr>
        <w:ind w:left="5029" w:hanging="360"/>
      </w:pPr>
    </w:lvl>
    <w:lvl w:ilvl="7" w:tplc="86B422CE">
      <w:start w:val="1"/>
      <w:numFmt w:val="lowerLetter"/>
      <w:lvlText w:val="%8."/>
      <w:lvlJc w:val="left"/>
      <w:pPr>
        <w:ind w:left="5749" w:hanging="360"/>
      </w:pPr>
    </w:lvl>
    <w:lvl w:ilvl="8" w:tplc="818EAA5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B283C3E"/>
    <w:multiLevelType w:val="hybridMultilevel"/>
    <w:tmpl w:val="B224C580"/>
    <w:lvl w:ilvl="0" w:tplc="63E2342A">
      <w:start w:val="1"/>
      <w:numFmt w:val="decimal"/>
      <w:lvlText w:val="%1."/>
      <w:lvlJc w:val="left"/>
      <w:pPr>
        <w:ind w:left="709" w:hanging="360"/>
      </w:pPr>
    </w:lvl>
    <w:lvl w:ilvl="1" w:tplc="8EE68976">
      <w:start w:val="1"/>
      <w:numFmt w:val="lowerLetter"/>
      <w:lvlText w:val="%2."/>
      <w:lvlJc w:val="left"/>
      <w:pPr>
        <w:ind w:left="1429" w:hanging="360"/>
      </w:pPr>
    </w:lvl>
    <w:lvl w:ilvl="2" w:tplc="DDC8C89E">
      <w:start w:val="1"/>
      <w:numFmt w:val="lowerRoman"/>
      <w:lvlText w:val="%3."/>
      <w:lvlJc w:val="right"/>
      <w:pPr>
        <w:ind w:left="2149" w:hanging="180"/>
      </w:pPr>
    </w:lvl>
    <w:lvl w:ilvl="3" w:tplc="FE06B77A">
      <w:start w:val="1"/>
      <w:numFmt w:val="decimal"/>
      <w:lvlText w:val="%4."/>
      <w:lvlJc w:val="left"/>
      <w:pPr>
        <w:ind w:left="2869" w:hanging="360"/>
      </w:pPr>
    </w:lvl>
    <w:lvl w:ilvl="4" w:tplc="5F8617A2">
      <w:start w:val="1"/>
      <w:numFmt w:val="lowerLetter"/>
      <w:lvlText w:val="%5."/>
      <w:lvlJc w:val="left"/>
      <w:pPr>
        <w:ind w:left="3589" w:hanging="360"/>
      </w:pPr>
    </w:lvl>
    <w:lvl w:ilvl="5" w:tplc="F8125B48">
      <w:start w:val="1"/>
      <w:numFmt w:val="lowerRoman"/>
      <w:lvlText w:val="%6."/>
      <w:lvlJc w:val="right"/>
      <w:pPr>
        <w:ind w:left="4309" w:hanging="180"/>
      </w:pPr>
    </w:lvl>
    <w:lvl w:ilvl="6" w:tplc="6FB04E60">
      <w:start w:val="1"/>
      <w:numFmt w:val="decimal"/>
      <w:lvlText w:val="%7."/>
      <w:lvlJc w:val="left"/>
      <w:pPr>
        <w:ind w:left="5029" w:hanging="360"/>
      </w:pPr>
    </w:lvl>
    <w:lvl w:ilvl="7" w:tplc="0B9832B2">
      <w:start w:val="1"/>
      <w:numFmt w:val="lowerLetter"/>
      <w:lvlText w:val="%8."/>
      <w:lvlJc w:val="left"/>
      <w:pPr>
        <w:ind w:left="5749" w:hanging="360"/>
      </w:pPr>
    </w:lvl>
    <w:lvl w:ilvl="8" w:tplc="4B94D48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5343F61"/>
    <w:multiLevelType w:val="hybridMultilevel"/>
    <w:tmpl w:val="6090C854"/>
    <w:lvl w:ilvl="0" w:tplc="EEF867E8">
      <w:start w:val="1"/>
      <w:numFmt w:val="decimal"/>
      <w:lvlText w:val="%1."/>
      <w:lvlJc w:val="left"/>
      <w:pPr>
        <w:ind w:left="709" w:hanging="360"/>
      </w:pPr>
    </w:lvl>
    <w:lvl w:ilvl="1" w:tplc="8D740E7E">
      <w:start w:val="1"/>
      <w:numFmt w:val="lowerLetter"/>
      <w:lvlText w:val="%2."/>
      <w:lvlJc w:val="left"/>
      <w:pPr>
        <w:ind w:left="1429" w:hanging="360"/>
      </w:pPr>
    </w:lvl>
    <w:lvl w:ilvl="2" w:tplc="35EE5B5A">
      <w:start w:val="1"/>
      <w:numFmt w:val="lowerRoman"/>
      <w:lvlText w:val="%3."/>
      <w:lvlJc w:val="right"/>
      <w:pPr>
        <w:ind w:left="2149" w:hanging="180"/>
      </w:pPr>
    </w:lvl>
    <w:lvl w:ilvl="3" w:tplc="133E8B8C">
      <w:start w:val="1"/>
      <w:numFmt w:val="decimal"/>
      <w:lvlText w:val="%4."/>
      <w:lvlJc w:val="left"/>
      <w:pPr>
        <w:ind w:left="2869" w:hanging="360"/>
      </w:pPr>
    </w:lvl>
    <w:lvl w:ilvl="4" w:tplc="13F63C94">
      <w:start w:val="1"/>
      <w:numFmt w:val="lowerLetter"/>
      <w:lvlText w:val="%5."/>
      <w:lvlJc w:val="left"/>
      <w:pPr>
        <w:ind w:left="3589" w:hanging="360"/>
      </w:pPr>
    </w:lvl>
    <w:lvl w:ilvl="5" w:tplc="86FCD9F2">
      <w:start w:val="1"/>
      <w:numFmt w:val="lowerRoman"/>
      <w:lvlText w:val="%6."/>
      <w:lvlJc w:val="right"/>
      <w:pPr>
        <w:ind w:left="4309" w:hanging="180"/>
      </w:pPr>
    </w:lvl>
    <w:lvl w:ilvl="6" w:tplc="BAFE4004">
      <w:start w:val="1"/>
      <w:numFmt w:val="decimal"/>
      <w:lvlText w:val="%7."/>
      <w:lvlJc w:val="left"/>
      <w:pPr>
        <w:ind w:left="5029" w:hanging="360"/>
      </w:pPr>
    </w:lvl>
    <w:lvl w:ilvl="7" w:tplc="39C8FF4C">
      <w:start w:val="1"/>
      <w:numFmt w:val="lowerLetter"/>
      <w:lvlText w:val="%8."/>
      <w:lvlJc w:val="left"/>
      <w:pPr>
        <w:ind w:left="5749" w:hanging="360"/>
      </w:pPr>
    </w:lvl>
    <w:lvl w:ilvl="8" w:tplc="A550A0E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FE32919"/>
    <w:multiLevelType w:val="hybridMultilevel"/>
    <w:tmpl w:val="8BE66EB4"/>
    <w:lvl w:ilvl="0" w:tplc="AEBE4402">
      <w:start w:val="1"/>
      <w:numFmt w:val="decimal"/>
      <w:lvlText w:val="%1."/>
      <w:lvlJc w:val="left"/>
      <w:pPr>
        <w:ind w:left="720" w:hanging="360"/>
      </w:pPr>
      <w:rPr>
        <w:rFonts w:eastAsia="Tempora LGC Un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57DC"/>
    <w:multiLevelType w:val="hybridMultilevel"/>
    <w:tmpl w:val="A1167A46"/>
    <w:lvl w:ilvl="0" w:tplc="67FA51D8">
      <w:start w:val="1"/>
      <w:numFmt w:val="decimal"/>
      <w:lvlText w:val="%1."/>
      <w:lvlJc w:val="left"/>
      <w:pPr>
        <w:ind w:left="709" w:hanging="360"/>
      </w:pPr>
    </w:lvl>
    <w:lvl w:ilvl="1" w:tplc="64C087A8">
      <w:start w:val="1"/>
      <w:numFmt w:val="lowerLetter"/>
      <w:lvlText w:val="%2."/>
      <w:lvlJc w:val="left"/>
      <w:pPr>
        <w:ind w:left="1429" w:hanging="360"/>
      </w:pPr>
    </w:lvl>
    <w:lvl w:ilvl="2" w:tplc="AF1AFAA0">
      <w:start w:val="1"/>
      <w:numFmt w:val="lowerRoman"/>
      <w:lvlText w:val="%3."/>
      <w:lvlJc w:val="right"/>
      <w:pPr>
        <w:ind w:left="2149" w:hanging="180"/>
      </w:pPr>
    </w:lvl>
    <w:lvl w:ilvl="3" w:tplc="63FC40EA">
      <w:start w:val="1"/>
      <w:numFmt w:val="decimal"/>
      <w:lvlText w:val="%4."/>
      <w:lvlJc w:val="left"/>
      <w:pPr>
        <w:ind w:left="2869" w:hanging="360"/>
      </w:pPr>
    </w:lvl>
    <w:lvl w:ilvl="4" w:tplc="CE4E138A">
      <w:start w:val="1"/>
      <w:numFmt w:val="lowerLetter"/>
      <w:lvlText w:val="%5."/>
      <w:lvlJc w:val="left"/>
      <w:pPr>
        <w:ind w:left="3589" w:hanging="360"/>
      </w:pPr>
    </w:lvl>
    <w:lvl w:ilvl="5" w:tplc="E0F26078">
      <w:start w:val="1"/>
      <w:numFmt w:val="lowerRoman"/>
      <w:lvlText w:val="%6."/>
      <w:lvlJc w:val="right"/>
      <w:pPr>
        <w:ind w:left="4309" w:hanging="180"/>
      </w:pPr>
    </w:lvl>
    <w:lvl w:ilvl="6" w:tplc="3216F930">
      <w:start w:val="1"/>
      <w:numFmt w:val="decimal"/>
      <w:lvlText w:val="%7."/>
      <w:lvlJc w:val="left"/>
      <w:pPr>
        <w:ind w:left="5029" w:hanging="360"/>
      </w:pPr>
    </w:lvl>
    <w:lvl w:ilvl="7" w:tplc="6E72817A">
      <w:start w:val="1"/>
      <w:numFmt w:val="lowerLetter"/>
      <w:lvlText w:val="%8."/>
      <w:lvlJc w:val="left"/>
      <w:pPr>
        <w:ind w:left="5749" w:hanging="360"/>
      </w:pPr>
    </w:lvl>
    <w:lvl w:ilvl="8" w:tplc="BA3879A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32"/>
    <w:rsid w:val="000676D0"/>
    <w:rsid w:val="001D093C"/>
    <w:rsid w:val="00302A32"/>
    <w:rsid w:val="0038705F"/>
    <w:rsid w:val="003C034A"/>
    <w:rsid w:val="004E2118"/>
    <w:rsid w:val="00640CF3"/>
    <w:rsid w:val="009765D0"/>
    <w:rsid w:val="00F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8A56-5E7C-448B-98F3-E59B1211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 w:cs="Times New Roman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74CD-F687-4EE0-A242-E4CEAC9D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Осин Виктор Николаевич</cp:lastModifiedBy>
  <cp:revision>22</cp:revision>
  <cp:lastPrinted>2026-04-09T08:12:00Z</cp:lastPrinted>
  <dcterms:created xsi:type="dcterms:W3CDTF">2025-10-10T06:59:00Z</dcterms:created>
  <dcterms:modified xsi:type="dcterms:W3CDTF">2026-04-09T08:15:00Z</dcterms:modified>
</cp:coreProperties>
</file>