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firstLine="540" w:left="0" w:right="0"/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numPr>
          <w:ilvl w:val="0"/>
          <w:numId w:val="0"/>
        </w:numPr>
        <w:ind w:firstLine="540" w:left="0" w:right="0"/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Сообщение о существенном факте 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2"/>
          <w:szCs w:val="22"/>
        </w:rPr>
        <w:t>«</w:t>
      </w:r>
      <w:r>
        <w:rPr>
          <w:b/>
          <w:sz w:val="22"/>
          <w:szCs w:val="22"/>
        </w:rPr>
        <w:t>О проведении заседания совета директоров эмитента и его повестке дня</w:t>
      </w:r>
      <w:r>
        <w:rPr>
          <w:b/>
          <w:bCs/>
          <w:sz w:val="22"/>
          <w:szCs w:val="22"/>
        </w:rPr>
        <w:t>»</w:t>
      </w:r>
    </w:p>
    <w:p>
      <w:pPr>
        <w:pStyle w:val="Normal"/>
        <w:numPr>
          <w:ilvl w:val="0"/>
          <w:numId w:val="0"/>
        </w:numPr>
        <w:ind w:firstLine="540" w:left="0" w:right="0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W w:w="10661" w:type="dxa"/>
        <w:jc w:val="left"/>
        <w:tblInd w:w="-426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848"/>
        <w:gridCol w:w="5812"/>
      </w:tblGrid>
      <w:tr>
        <w:trPr/>
        <w:tc>
          <w:tcPr>
            <w:tcW w:w="10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1. Общие сведения</w:t>
            </w:r>
          </w:p>
        </w:tc>
      </w:tr>
      <w:tr>
        <w:trPr/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szCs w:val="22"/>
              </w:rPr>
            </w:pPr>
            <w:r>
              <w:rPr>
                <w:szCs w:val="22"/>
              </w:rPr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40" w:right="85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2"/>
                <w:lang w:val="ru-RU" w:bidi="ar-SA"/>
              </w:rPr>
              <w:t>Публичное акционерное общество «Вторая генерирующая компания оптового рынка электроэнергии»</w:t>
            </w:r>
          </w:p>
        </w:tc>
      </w:tr>
      <w:tr>
        <w:trPr/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40" w:right="85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2"/>
                <w:lang w:val="ru-RU" w:bidi="ar-SA"/>
              </w:rPr>
              <w:t>196605, г. Санкт-Петербург, вн.тер.г. поселок Шушары, ш Петербургское, д. 66, к. 1, литера А, этаж 7, помещ. 36-Н, каб. 701</w:t>
            </w:r>
          </w:p>
        </w:tc>
      </w:tr>
      <w:tr>
        <w:trPr/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Cs w:val="22"/>
              </w:rPr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40" w:right="85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2"/>
                <w:lang w:val="ru-RU" w:bidi="ar-SA"/>
              </w:rPr>
              <w:t>1052600002180</w:t>
            </w:r>
          </w:p>
        </w:tc>
      </w:tr>
      <w:tr>
        <w:trPr/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Cs w:val="22"/>
              </w:rPr>
              <w:t>1.4. Идентификационный номер налогоплательщика (ИНН) эмитента (при наличии)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40" w:right="85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2"/>
                <w:lang w:val="ru-RU" w:bidi="ar-SA"/>
              </w:rPr>
              <w:t>2607018122</w:t>
            </w:r>
          </w:p>
        </w:tc>
      </w:tr>
      <w:tr>
        <w:trPr/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40" w:right="85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2"/>
                <w:lang w:val="ru-RU" w:bidi="ar-SA"/>
              </w:rPr>
              <w:t>65105-D</w:t>
            </w:r>
          </w:p>
        </w:tc>
      </w:tr>
      <w:tr>
        <w:trPr/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Cs w:val="22"/>
              </w:rPr>
              <w:t>1.6. Адрес страницы в сети Интернет, используемой эмитентом для раскрытия информации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57"/>
              <w:rPr>
                <w:b/>
                <w:bCs/>
              </w:rPr>
            </w:pPr>
            <w:hyperlink r:id="rId2" w:tgtFrame="https://www.ogk2.ru/">
              <w:r>
                <w:rPr>
                  <w:rStyle w:val="Hyperlink"/>
                  <w:rFonts w:eastAsia="Times New Roman" w:cs="Times New Roman"/>
                  <w:b/>
                  <w:bCs/>
                  <w:color w:val="auto"/>
                  <w:sz w:val="20"/>
                  <w:szCs w:val="22"/>
                  <w:lang w:val="ru-RU" w:bidi="ar-SA"/>
                </w:rPr>
                <w:t>https://www.ogk2.ru</w:t>
              </w:r>
            </w:hyperlink>
          </w:p>
          <w:p>
            <w:pPr>
              <w:pStyle w:val="Normal"/>
              <w:ind w:right="85"/>
              <w:rPr>
                <w:b/>
                <w:bCs/>
              </w:rPr>
            </w:pPr>
            <w:hyperlink r:id="rId3" w:tgtFrame="https://www.e-disclosure.ru/portal/company.aspx?id=7234">
              <w:r>
                <w:rPr>
                  <w:rStyle w:val="Hyperlink"/>
                  <w:rFonts w:eastAsia="Times New Roman" w:cs="Times New Roman"/>
                  <w:b/>
                  <w:bCs/>
                  <w:color w:val="auto"/>
                  <w:sz w:val="20"/>
                  <w:szCs w:val="22"/>
                  <w:lang w:val="ru-RU" w:bidi="ar-SA"/>
                </w:rPr>
                <w:t>https://www.e-disclosure.ru/portal/company.aspx?id=7234</w:t>
              </w:r>
            </w:hyperlink>
          </w:p>
        </w:tc>
      </w:tr>
      <w:tr>
        <w:trPr/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85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2"/>
                <w:lang w:val="ru-RU" w:bidi="ar-SA"/>
              </w:rPr>
              <w:t>2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2"/>
                <w:lang w:val="ru-RU" w:bidi="ar-SA"/>
              </w:rPr>
              <w:t>0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2"/>
                <w:lang w:val="ru-RU" w:bidi="ar-SA"/>
              </w:rPr>
              <w:t>.0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2"/>
                <w:lang w:val="ru-RU" w:bidi="ar-SA"/>
              </w:rPr>
              <w:t>6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2"/>
                <w:lang w:val="ru-RU" w:bidi="ar-SA"/>
              </w:rPr>
              <w:t>.2024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622" w:type="dxa"/>
        <w:jc w:val="left"/>
        <w:tblInd w:w="-387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10622"/>
      </w:tblGrid>
      <w:tr>
        <w:trPr/>
        <w:tc>
          <w:tcPr>
            <w:tcW w:w="10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2. Содержание сообщения</w:t>
            </w:r>
          </w:p>
        </w:tc>
      </w:tr>
      <w:tr>
        <w:trPr>
          <w:trHeight w:val="1484" w:hRule="atLeast"/>
        </w:trPr>
        <w:tc>
          <w:tcPr>
            <w:tcW w:w="10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28" w:right="57"/>
              <w:jc w:val="both"/>
              <w:rPr>
                <w:color w:val="000000"/>
              </w:rPr>
            </w:pPr>
            <w:r>
              <w:rPr/>
              <w:t>2.1. Д</w:t>
            </w:r>
            <w:r>
              <w:rPr>
                <w:color w:val="000000"/>
              </w:rPr>
              <w:t xml:space="preserve">ата принятия </w:t>
            </w:r>
            <w:r>
              <w:rPr>
                <w:color w:val="000000"/>
              </w:rPr>
              <w:t>членом</w:t>
            </w:r>
            <w:r>
              <w:rPr>
                <w:color w:val="000000"/>
              </w:rPr>
              <w:t xml:space="preserve"> совета директоров эмитента решения о проведении заседания совета директоров эмитента:</w:t>
            </w:r>
            <w:r>
              <w:rPr>
                <w:rFonts w:eastAsia="Times New Roman" w:cs="Times New Roman"/>
                <w:b/>
                <w:color w:val="auto"/>
                <w:sz w:val="20"/>
                <w:szCs w:val="20"/>
                <w:lang w:val="ru-RU" w:eastAsia="zh-CN" w:bidi="ar-SA"/>
              </w:rPr>
              <w:t xml:space="preserve">   2</w:t>
            </w:r>
            <w:r>
              <w:rPr>
                <w:rFonts w:eastAsia="Times New Roman" w:cs="Times New Roman"/>
                <w:b/>
                <w:color w:val="auto"/>
                <w:sz w:val="20"/>
                <w:szCs w:val="20"/>
                <w:lang w:val="ru-RU" w:eastAsia="zh-CN" w:bidi="ar-SA"/>
              </w:rPr>
              <w:t>0</w:t>
            </w:r>
            <w:r>
              <w:rPr>
                <w:rFonts w:eastAsia="Times New Roman" w:cs="Times New Roman"/>
                <w:b/>
                <w:color w:val="auto"/>
                <w:sz w:val="20"/>
                <w:szCs w:val="20"/>
                <w:lang w:val="ru-RU" w:eastAsia="zh-CN" w:bidi="ar-SA"/>
              </w:rPr>
              <w:t>.0</w:t>
            </w:r>
            <w:r>
              <w:rPr>
                <w:rFonts w:eastAsia="Times New Roman" w:cs="Times New Roman"/>
                <w:b/>
                <w:color w:val="auto"/>
                <w:sz w:val="20"/>
                <w:szCs w:val="20"/>
                <w:lang w:val="ru-RU" w:eastAsia="zh-CN" w:bidi="ar-SA"/>
              </w:rPr>
              <w:t>6</w:t>
            </w:r>
            <w:r>
              <w:rPr>
                <w:b/>
              </w:rPr>
              <w:t>.2024.</w:t>
            </w:r>
          </w:p>
          <w:p>
            <w:pPr>
              <w:pStyle w:val="Normal"/>
              <w:ind w:left="-28" w:right="57"/>
              <w:jc w:val="both"/>
              <w:rPr>
                <w:rFonts w:eastAsia="Times New Roman" w:cs="Times New Roman"/>
                <w:b/>
                <w:color w:val="auto"/>
                <w:sz w:val="20"/>
                <w:szCs w:val="20"/>
                <w:lang w:val="ru-RU" w:bidi="ar-SA"/>
              </w:rPr>
            </w:pPr>
            <w:r>
              <w:rPr>
                <w:color w:val="000000"/>
              </w:rPr>
              <w:t>2.2. Дата проведения заседания совета директоров эмитента</w:t>
            </w:r>
            <w:r>
              <w:rPr>
                <w:rFonts w:eastAsia="Times New Roman" w:cs="Times New Roman"/>
                <w:b/>
                <w:color w:val="auto"/>
                <w:sz w:val="20"/>
                <w:szCs w:val="20"/>
                <w:lang w:val="ru-RU" w:eastAsia="zh-CN" w:bidi="ar-SA"/>
              </w:rPr>
              <w:t>: 2</w:t>
            </w:r>
            <w:r>
              <w:rPr>
                <w:rFonts w:eastAsia="Times New Roman" w:cs="Times New Roman"/>
                <w:b/>
                <w:color w:val="auto"/>
                <w:sz w:val="20"/>
                <w:szCs w:val="20"/>
                <w:lang w:val="ru-RU" w:eastAsia="zh-CN" w:bidi="ar-SA"/>
              </w:rPr>
              <w:t>8</w:t>
            </w:r>
            <w:r>
              <w:rPr>
                <w:rFonts w:eastAsia="Times New Roman" w:cs="Times New Roman"/>
                <w:b/>
                <w:color w:val="auto"/>
                <w:sz w:val="20"/>
                <w:szCs w:val="20"/>
                <w:lang w:val="ru-RU" w:eastAsia="zh-CN" w:bidi="ar-SA"/>
              </w:rPr>
              <w:t>.</w:t>
            </w:r>
            <w:r>
              <w:rPr>
                <w:rFonts w:eastAsia="Times New Roman" w:cs="Times New Roman"/>
                <w:b/>
                <w:color w:val="auto"/>
                <w:sz w:val="20"/>
                <w:szCs w:val="20"/>
                <w:lang w:val="ru-RU" w:bidi="ar-SA"/>
              </w:rPr>
              <w:t>0</w:t>
            </w:r>
            <w:r>
              <w:rPr>
                <w:rFonts w:eastAsia="Times New Roman" w:cs="Times New Roman"/>
                <w:b/>
                <w:color w:val="auto"/>
                <w:sz w:val="20"/>
                <w:szCs w:val="20"/>
                <w:lang w:val="ru-RU" w:bidi="ar-SA"/>
              </w:rPr>
              <w:t>6</w:t>
            </w:r>
            <w:r>
              <w:rPr>
                <w:rFonts w:eastAsia="Times New Roman" w:cs="Times New Roman"/>
                <w:b/>
                <w:color w:val="auto"/>
                <w:sz w:val="20"/>
                <w:szCs w:val="20"/>
                <w:lang w:val="ru-RU" w:bidi="ar-SA"/>
              </w:rPr>
              <w:t>.2024.</w:t>
            </w:r>
          </w:p>
          <w:p>
            <w:pPr>
              <w:pStyle w:val="Normal"/>
              <w:ind w:left="-28" w:right="57"/>
              <w:jc w:val="both"/>
              <w:rPr>
                <w:b/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sz w:val="20"/>
                <w:szCs w:val="20"/>
                <w:lang w:val="ru-RU" w:bidi="ar-SA"/>
              </w:rPr>
              <w:t>2.3.  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ru-RU" w:bidi="ar-SA"/>
              </w:rPr>
              <w:t>Повестка дня заседания совета директоров эмитента:</w:t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0" w:right="57"/>
              <w:jc w:val="both"/>
              <w:rPr/>
            </w:pPr>
            <w:r>
              <w:rPr>
                <w:b/>
                <w:color w:val="000000"/>
                <w:sz w:val="20"/>
                <w:szCs w:val="20"/>
              </w:rPr>
              <w:t>1. Об избрании Председателя Совета директоров Общества.</w:t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0" w:right="57"/>
              <w:jc w:val="both"/>
              <w:rPr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ru-RU" w:bidi="ar-SA"/>
              </w:rPr>
              <w:t>2. Об избрании Заместителя Председателя Совета директоров Общества.</w:t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0" w:right="57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ru-RU" w:bidi="ar-SA"/>
              </w:rPr>
              <w:t xml:space="preserve">3.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ru-RU" w:bidi="ar-SA"/>
              </w:rPr>
              <w:t>О внесении изменений в Реестр непрофильных активов ПАО «ОГК-2»  и его дочерних обществ.</w:t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0" w:right="57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ru-RU" w:bidi="ar-SA"/>
              </w:rPr>
              <w:t>4. О рассмотрении  отчета об исполнении кредитной политики и отчета о размещении временно свободных  денежных средств ПАО «ОГК-2» за 1 квартал 2024 года.</w:t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0" w:right="57"/>
              <w:jc w:val="both"/>
              <w:rPr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ru-RU" w:bidi="ar-SA"/>
              </w:rPr>
              <w:t xml:space="preserve">5.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ru-RU" w:bidi="ar-SA"/>
              </w:rPr>
              <w:t xml:space="preserve">Об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ru-RU" w:bidi="ar-SA"/>
              </w:rPr>
              <w:t>утверждении отчета управляющей организации об оказании услуг по договору о передаче полномочий единоличного исполнительного органа ПАО «ОГК-2».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426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1230"/>
        <w:gridCol w:w="357"/>
        <w:gridCol w:w="384"/>
        <w:gridCol w:w="1317"/>
        <w:gridCol w:w="416"/>
        <w:gridCol w:w="307"/>
        <w:gridCol w:w="1209"/>
        <w:gridCol w:w="1338"/>
        <w:gridCol w:w="462"/>
        <w:gridCol w:w="3064"/>
        <w:gridCol w:w="547"/>
      </w:tblGrid>
      <w:tr>
        <w:trPr>
          <w:trHeight w:val="248" w:hRule="atLeast"/>
          <w:cantSplit w:val="true"/>
        </w:trPr>
        <w:tc>
          <w:tcPr>
            <w:tcW w:w="106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3. Подпись</w:t>
            </w:r>
          </w:p>
        </w:tc>
      </w:tr>
      <w:tr>
        <w:trPr>
          <w:trHeight w:val="859" w:hRule="atLeast"/>
          <w:cantSplit w:val="true"/>
        </w:trPr>
        <w:tc>
          <w:tcPr>
            <w:tcW w:w="5220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Spacing"/>
              <w:rPr/>
            </w:pPr>
            <w:r>
              <w:rPr>
                <w:b/>
                <w:szCs w:val="22"/>
              </w:rPr>
              <w:t xml:space="preserve">3.1. </w:t>
            </w:r>
            <w:r>
              <w:rPr>
                <w:rFonts w:eastAsia="Times New Roman" w:cs="Times New Roman"/>
                <w:b/>
                <w:color w:val="000000"/>
                <w:sz w:val="20"/>
              </w:rPr>
              <w:t>Заместитель управляющего директора по корпоративным и правовым вопросам, действующий на основании доверенности № 77/299-н/77-2022-1-1027 от 25.03.2022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</w:r>
          </w:p>
        </w:tc>
        <w:tc>
          <w:tcPr>
            <w:tcW w:w="306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b/>
                <w:szCs w:val="22"/>
              </w:rPr>
              <w:t>М.А. Чалый</w:t>
            </w:r>
          </w:p>
        </w:tc>
        <w:tc>
          <w:tcPr>
            <w:tcW w:w="547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280" w:hRule="exact"/>
          <w:cantSplit w:val="true"/>
        </w:trPr>
        <w:tc>
          <w:tcPr>
            <w:tcW w:w="5220" w:type="dxa"/>
            <w:gridSpan w:val="7"/>
            <w:tcBorders>
              <w:left w:val="single" w:sz="4" w:space="0" w:color="000000"/>
            </w:tcBorders>
          </w:tcPr>
          <w:p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jc w:val="center"/>
              <w:rPr/>
            </w:pPr>
            <w:r>
              <w:rPr/>
              <w:t>(подпись)</w:t>
            </w:r>
          </w:p>
        </w:tc>
        <w:tc>
          <w:tcPr>
            <w:tcW w:w="306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47" w:type="dxa"/>
            <w:tcBorders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230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3.2. Дата      “</w:t>
            </w:r>
          </w:p>
        </w:tc>
        <w:tc>
          <w:tcPr>
            <w:tcW w:w="35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</w:t>
            </w:r>
            <w:r>
              <w:rPr/>
              <w:t>1</w:t>
            </w:r>
          </w:p>
        </w:tc>
        <w:tc>
          <w:tcPr>
            <w:tcW w:w="384" w:type="dxa"/>
            <w:tcBorders/>
            <w:vAlign w:val="bottom"/>
          </w:tcPr>
          <w:p>
            <w:pPr>
              <w:pStyle w:val="Normal"/>
              <w:rPr/>
            </w:pPr>
            <w:r>
              <w:rPr/>
              <w:t>”</w:t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>июня</w:t>
            </w:r>
          </w:p>
        </w:tc>
        <w:tc>
          <w:tcPr>
            <w:tcW w:w="416" w:type="dxa"/>
            <w:tcBorders/>
            <w:vAlign w:val="bottom"/>
          </w:tcPr>
          <w:p>
            <w:pPr>
              <w:pStyle w:val="Normal"/>
              <w:jc w:val="right"/>
              <w:rPr/>
            </w:pPr>
            <w:r>
              <w:rPr/>
              <w:t>20</w:t>
            </w:r>
          </w:p>
        </w:tc>
        <w:tc>
          <w:tcPr>
            <w:tcW w:w="30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24</w:t>
            </w:r>
          </w:p>
        </w:tc>
        <w:tc>
          <w:tcPr>
            <w:tcW w:w="1209" w:type="dxa"/>
            <w:tcBorders/>
            <w:vAlign w:val="bottom"/>
          </w:tcPr>
          <w:p>
            <w:pPr>
              <w:pStyle w:val="Normal"/>
              <w:rPr/>
            </w:pPr>
            <w:r>
              <w:rPr/>
              <w:t>г.</w:t>
            </w:r>
          </w:p>
        </w:tc>
        <w:tc>
          <w:tcPr>
            <w:tcW w:w="1338" w:type="dxa"/>
            <w:tcBorders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073" w:type="dxa"/>
            <w:gridSpan w:val="3"/>
            <w:tcBorders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5220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38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73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sectPr>
      <w:headerReference w:type="default" r:id="rId4"/>
      <w:headerReference w:type="first" r:id="rId5"/>
      <w:type w:val="nextPage"/>
      <w:pgSz w:w="11906" w:h="16838"/>
      <w:pgMar w:left="851" w:right="567" w:gutter="0" w:header="284" w:top="341" w:footer="0" w:bottom="14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Open Sans">
    <w:charset w:val="01"/>
    <w:family w:val="roman"/>
    <w:pitch w:val="variable"/>
  </w:font>
  <w:font w:name="Tahom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109220" distR="109220" simplePos="0" locked="0" layoutInCell="0" allowOverlap="1" relativeHeight="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78740" cy="20320"/>
              <wp:effectExtent l="5080" t="5080" r="5080" b="5080"/>
              <wp:wrapSquare wrapText="bothSides"/>
              <wp:docPr id="1" name="_x005F_x0000_s10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840" cy="2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5F_x0000_s1025" path="m0,0l-2147483645,0l-2147483645,-2147483646l0,-2147483646xe" fillcolor="white" stroked="t" o:allowincell="f" style="position:absolute;margin-left:0pt;margin-top:0.05pt;width:6.15pt;height:1.55pt;mso-wrap-style:none;v-text-anchor:middle">
              <v:fill o:detectmouseclick="t" type="solid" color2="black"/>
              <v:stroke color="black" weight="9360" joinstyle="round" endcap="flat"/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WenQuanYi Micro Hei" w:cs="Lohit Devanagar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3z0">
    <w:name w:val="WW8Num3z0"/>
    <w:qFormat/>
    <w:rPr/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6z1">
    <w:name w:val="WW8Num6z1"/>
    <w:qFormat/>
    <w:rPr/>
  </w:style>
  <w:style w:type="character" w:styleId="WW8Num7z1">
    <w:name w:val="WW8Num7z1"/>
    <w:qFormat/>
    <w:rPr>
      <w:b w:val="false"/>
    </w:rPr>
  </w:style>
  <w:style w:type="character" w:styleId="WW8Num8z0">
    <w:name w:val="WW8Num8z0"/>
    <w:qFormat/>
    <w:rPr/>
  </w:style>
  <w:style w:type="character" w:styleId="WW8Num11z0">
    <w:name w:val="WW8Num11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>
      <w:b w:val="false"/>
    </w:rPr>
  </w:style>
  <w:style w:type="character" w:styleId="WW8Num17z2">
    <w:name w:val="WW8Num17z2"/>
    <w:qFormat/>
    <w:rPr/>
  </w:style>
  <w:style w:type="character" w:styleId="WW8Num18z0">
    <w:name w:val="WW8Num18z0"/>
    <w:qFormat/>
    <w:rPr>
      <w:color w:val="000000"/>
    </w:rPr>
  </w:style>
  <w:style w:type="character" w:styleId="WW8Num20z0">
    <w:name w:val="WW8Num20z0"/>
    <w:qFormat/>
    <w:rPr/>
  </w:style>
  <w:style w:type="character" w:styleId="WW8Num23z0">
    <w:name w:val="WW8Num23z0"/>
    <w:qFormat/>
    <w:rPr>
      <w:b w:val="false"/>
    </w:rPr>
  </w:style>
  <w:style w:type="character" w:styleId="WW8Num23z1">
    <w:name w:val="WW8Num23z1"/>
    <w:qFormat/>
    <w:rPr>
      <w:b w:val="false"/>
      <w:sz w:val="26"/>
      <w:szCs w:val="26"/>
    </w:rPr>
  </w:style>
  <w:style w:type="character" w:styleId="WW8Num23z2">
    <w:name w:val="WW8Num23z2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>
      <w:b w:val="false"/>
    </w:rPr>
  </w:style>
  <w:style w:type="character" w:styleId="WW8Num26z0">
    <w:name w:val="WW8Num26z0"/>
    <w:qFormat/>
    <w:rPr/>
  </w:style>
  <w:style w:type="character" w:styleId="WW8Num27z0">
    <w:name w:val="WW8Num27z0"/>
    <w:qFormat/>
    <w:rPr>
      <w:color w:val="000000"/>
    </w:rPr>
  </w:style>
  <w:style w:type="character" w:styleId="Style7">
    <w:name w:val="Основной шрифт абзаца"/>
    <w:qFormat/>
    <w:rPr/>
  </w:style>
  <w:style w:type="character" w:styleId="PageNumber">
    <w:name w:val="Page Number"/>
    <w:basedOn w:val="Style7"/>
    <w:rPr/>
  </w:style>
  <w:style w:type="character" w:styleId="Hyperlink">
    <w:name w:val="Hyperlink"/>
    <w:rPr>
      <w:color w:val="0000FF"/>
      <w:u w:val="single"/>
    </w:rPr>
  </w:style>
  <w:style w:type="character" w:styleId="2">
    <w:name w:val="Основной текст с отступом 2 Знак"/>
    <w:qFormat/>
    <w:rPr>
      <w:sz w:val="28"/>
      <w:szCs w:val="24"/>
    </w:rPr>
  </w:style>
  <w:style w:type="character" w:styleId="HTML">
    <w:name w:val="Стандартный HTML Знак"/>
    <w:qFormat/>
    <w:rPr>
      <w:rFonts w:ascii="Courier New" w:hAnsi="Courier New" w:cs="Courier New"/>
    </w:rPr>
  </w:style>
  <w:style w:type="character" w:styleId="Style8">
    <w:name w:val="Обычный (веб) Знак"/>
    <w:qFormat/>
    <w:rPr>
      <w:rFonts w:eastAsia="Calibri"/>
      <w:sz w:val="24"/>
      <w:szCs w:val="24"/>
      <w:lang w:val="en-GB"/>
    </w:rPr>
  </w:style>
  <w:style w:type="character" w:styleId="Strong">
    <w:name w:val="Strong"/>
    <w:qFormat/>
    <w:rPr>
      <w:b/>
      <w:bCs/>
    </w:rPr>
  </w:style>
  <w:style w:type="character" w:styleId="Style12ptBoldItalic">
    <w:name w:val="Style 12 pt Bold Italic"/>
    <w:qFormat/>
    <w:rPr>
      <w:rFonts w:ascii="Times New Roman" w:hAnsi="Times New Roman" w:cs="Times New Roman"/>
      <w:b/>
      <w:bCs/>
      <w:i/>
      <w:iCs/>
      <w:sz w:val="22"/>
    </w:rPr>
  </w:style>
  <w:style w:type="character" w:styleId="FollowedHyperlink">
    <w:name w:val="FollowedHyperlink"/>
    <w:rPr>
      <w:color w:val="954F72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>
    <w:name w:val="Символ нумерации"/>
    <w:qFormat/>
    <w:rPr/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WenQuanYi Micro Hei" w:cs="Lohit Devanagari"/>
      <w:color w:val="auto"/>
      <w:kern w:val="0"/>
      <w:sz w:val="20"/>
      <w:szCs w:val="20"/>
      <w:lang w:val="ru-RU" w:eastAsia="zh-CN" w:bidi="hi-IN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2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0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WenQuanYi Micro Hei" w:cs="Lohit Devanagari"/>
      <w:color w:val="auto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Style1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Prilozhenie">
    <w:name w:val="prilozhenie"/>
    <w:basedOn w:val="Normal"/>
    <w:qFormat/>
    <w:pPr>
      <w:ind w:firstLine="709" w:left="0" w:right="0"/>
      <w:jc w:val="both"/>
    </w:pPr>
    <w:rPr>
      <w:sz w:val="24"/>
      <w:szCs w:val="24"/>
    </w:rPr>
  </w:style>
  <w:style w:type="paragraph" w:styleId="21">
    <w:name w:val="Основной текст с отступом 2"/>
    <w:basedOn w:val="Normal"/>
    <w:qFormat/>
    <w:pPr>
      <w:spacing w:lineRule="auto" w:line="480" w:before="0" w:after="120"/>
      <w:ind w:firstLine="709" w:left="283" w:right="0"/>
      <w:jc w:val="both"/>
    </w:pPr>
    <w:rPr>
      <w:sz w:val="28"/>
      <w:szCs w:val="24"/>
    </w:rPr>
  </w:style>
  <w:style w:type="paragraph" w:styleId="HTML1">
    <w:name w:val="Стандартный HTML"/>
    <w:basedOn w:val="Normal"/>
    <w:qFormat/>
    <w:pPr/>
    <w:rPr>
      <w:rFonts w:ascii="Courier New" w:hAnsi="Courier New" w:cs="Courier New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Style14">
    <w:name w:val="Обычный (веб)"/>
    <w:basedOn w:val="Normal"/>
    <w:qFormat/>
    <w:pPr>
      <w:spacing w:before="280" w:after="280"/>
    </w:pPr>
    <w:rPr>
      <w:rFonts w:eastAsia="Calibri"/>
      <w:sz w:val="24"/>
      <w:szCs w:val="24"/>
      <w:lang w:val="en-GB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suppressLineNumbers/>
      <w:jc w:val="center"/>
    </w:pPr>
    <w:rPr>
      <w:b/>
      <w:bCs/>
    </w:rPr>
  </w:style>
  <w:style w:type="paragraph" w:styleId="Style17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styleId="668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671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672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673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74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5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7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7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7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7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8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8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82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3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4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5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6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7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8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9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0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1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2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3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4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5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6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698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699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700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701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0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70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70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70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70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70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710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1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71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1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71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1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1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17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1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1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2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2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2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2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24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32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33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34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35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36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37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38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39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0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1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2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3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4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5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6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7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8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9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0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1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2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5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5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5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5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5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5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59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76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76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76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76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76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766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6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76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6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77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7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77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773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774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775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776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777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778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779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780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781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782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783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784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785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786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787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788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790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791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792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793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97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ogk2.ru/" TargetMode="External"/><Relationship Id="rId3" Type="http://schemas.openxmlformats.org/officeDocument/2006/relationships/hyperlink" Target="https://www.e-disclosure.ru/portal/company.aspx?id=7234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LibreOffice/7.6.4.1$Linux_X86_64 LibreOffice_project/60$Build-1</Application>
  <AppVersion>15.0000</AppVersion>
  <Pages>1</Pages>
  <Words>255</Words>
  <Characters>1799</Characters>
  <CharactersWithSpaces>2030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2020-10-28T07:00:00Z</dcterms:created>
  <dc:creator>shamne.anna</dc:creator>
  <dc:description/>
  <dc:language>ru-RU</dc:language>
  <cp:lastModifiedBy/>
  <cp:lastPrinted>2024-06-21T10:06:32Z</cp:lastPrinted>
  <dcterms:modified xsi:type="dcterms:W3CDTF">2024-06-21T10:08:09Z</dcterms:modified>
  <cp:revision>147</cp:revision>
  <dc:subject/>
  <dc:title>Сообщение о существенном факте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