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bookmarkStart w:id="0" w:name="_GoBack"/>
      <w:r>
        <w:rPr>
          <w:rFonts w:ascii="Liberation Serif" w:hAnsi="Liberation Serif" w:eastAsia="Liberation Serif" w:cs="Liberation Serif"/>
          <w:sz w:val="20"/>
          <w:szCs w:val="20"/>
        </w:rPr>
      </w:r>
      <w:bookmarkEnd w:id="0"/>
      <w:r>
        <w:rPr>
          <w:rFonts w:ascii="Liberation Serif" w:hAnsi="Liberation Serif" w:eastAsia="Liberation Serif" w:cs="Liberation Serif"/>
          <w:b/>
          <w:sz w:val="20"/>
          <w:szCs w:val="20"/>
        </w:rPr>
        <w:t xml:space="preserve">Сообщение о существенном факте 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sz w:val="20"/>
          <w:szCs w:val="20"/>
        </w:rPr>
        <w:t xml:space="preserve">«О выплаченных доходах по ценным бумагам эмитента, а также об иных выплатах, причитающихся владельцам ценных бумаг эмитента»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jc w:val="center"/>
        <w:rPr>
          <w:rFonts w:ascii="Liberation Serif" w:hAnsi="Liberation Serif" w:cs="Liberation Serif"/>
          <w:b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sz w:val="20"/>
          <w:szCs w:val="20"/>
        </w:rPr>
      </w:r>
      <w:r>
        <w:rPr>
          <w:rFonts w:ascii="Liberation Serif" w:hAnsi="Liberation Serif" w:cs="Liberation Serif"/>
          <w:b/>
          <w:sz w:val="20"/>
          <w:szCs w:val="20"/>
        </w:rPr>
      </w:r>
      <w:r>
        <w:rPr>
          <w:rFonts w:ascii="Liberation Serif" w:hAnsi="Liberation Serif" w:cs="Liberation Serif"/>
          <w:b/>
          <w:sz w:val="20"/>
          <w:szCs w:val="20"/>
        </w:rPr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2"/>
        <w:gridCol w:w="5047"/>
      </w:tblGrid>
      <w:tr>
        <w:tblPrEx/>
        <w:trPr>
          <w:cantSplit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78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1. Общие сведения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2" w:type="dxa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eastAsia="en-US"/>
              </w:rPr>
              <w:t xml:space="preserve">1.1. Полное фирменное наименование (для коммерческой организации) или наименование (для некоммерческой организации) эмитента: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46" w:type="dxa"/>
            <w:vAlign w:val="center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Публичное акционерное общество «Вторая генерирующая компания оптового рынка электроэнергии»</w:t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2" w:type="dxa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eastAsia="en-US"/>
              </w:rPr>
              <w:t xml:space="preserve">1.2. Адрес эмитента, указанный в едином государственном реестре юридических лиц: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46" w:type="dxa"/>
            <w:vAlign w:val="center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196605, г. Санкт-Петербург, 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вн.тер.г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. поселок 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Шушары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, ш Петербургское, д. 66, к. 1, литера А, этаж 7, 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помещ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. 36-Н, 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каб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. 701</w:t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2" w:type="dxa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eastAsia="en-US"/>
              </w:rPr>
              <w:t xml:space="preserve">1.3. Основной государственный регистрационный номер (ОГРН) эмитента (при наличии):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46" w:type="dxa"/>
            <w:vAlign w:val="center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1052600002180</w:t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2" w:type="dxa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eastAsia="en-US"/>
              </w:rPr>
              <w:t xml:space="preserve">1.4. Идентификационный номер налогоплательщика (ИНН) эмитента (при наличии):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46" w:type="dxa"/>
            <w:vAlign w:val="center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2607018122</w:t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2" w:type="dxa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eastAsia="en-US"/>
              </w:rPr>
              <w:t xml:space="preserve">1.5. Уникальный код эмитента, присвоенный Банком России: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46" w:type="dxa"/>
            <w:vAlign w:val="center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65105-D</w:t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2" w:type="dxa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eastAsia="en-US"/>
              </w:rPr>
              <w:t xml:space="preserve">1.6. Адрес страницы в сети «Интернет», используемой эмитентом для раскрытия информации: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46" w:type="dxa"/>
            <w:vAlign w:val="center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https://www.ogk2.ru</w:t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</w:p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https://www.e-disclosure.ru/portal/company.aspx?id=7234</w:t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2" w:type="dxa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eastAsia="en-US"/>
              </w:rPr>
              <w:t xml:space="preserve">1.7. Дата наступления события (существенного факта), о котором составлено сообщение: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46" w:type="dxa"/>
            <w:vAlign w:val="center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08.07.2026</w:t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</w:p>
        </w:tc>
      </w:tr>
    </w:tbl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tbl>
      <w:tblPr>
        <w:tblW w:w="9979" w:type="dxa"/>
        <w:tblInd w:w="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79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79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2. Содержание сообщения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trHeight w:val="9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79" w:type="dxa"/>
            <w:textDirection w:val="lrTb"/>
            <w:noWrap w:val="false"/>
          </w:tcPr>
          <w:p>
            <w:pPr>
              <w:ind w:left="57" w:right="57"/>
              <w:jc w:val="both"/>
              <w:spacing w:before="0" w:beforeAutospacing="0"/>
              <w:tabs>
                <w:tab w:val="left" w:pos="10472" w:leader="none"/>
              </w:tabs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2.1.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Идентификационные признаки ценных бумаг эмитента, по которым выплачены доходы и (или) осуществлены иные выплаты, причитающиеся их владельцам: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ind w:left="57" w:right="57"/>
              <w:jc w:val="both"/>
              <w:spacing w:before="0" w:beforeAutospacing="0"/>
              <w:tabs>
                <w:tab w:val="left" w:pos="10472" w:leader="none"/>
              </w:tabs>
              <w:rPr>
                <w:rFonts w:ascii="Liberation Serif" w:hAnsi="Liberation Serif" w:cs="Liberation Serif"/>
                <w:b/>
                <w:i w:val="0"/>
                <w:iCs w:val="0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i w:val="0"/>
                <w:iCs w:val="0"/>
                <w:sz w:val="20"/>
                <w:szCs w:val="20"/>
              </w:rPr>
              <w:t xml:space="preserve">биржевые облигации процентны</w:t>
            </w:r>
            <w:r>
              <w:rPr>
                <w:rFonts w:ascii="Liberation Serif" w:hAnsi="Liberation Serif" w:eastAsia="Liberation Serif" w:cs="Liberation Serif"/>
                <w:b/>
                <w:i w:val="0"/>
                <w:iCs w:val="0"/>
                <w:sz w:val="20"/>
                <w:szCs w:val="20"/>
              </w:rPr>
              <w:t xml:space="preserve">е неконвертируемые бездокументарные с централизованным учетом прав серии 002P-01, номинальной стоимостью 1 000 (Одна тысяча) российских рублей каждая, со сроком погашения в 2 184-й (Две тысячи сто восемьдесят четвертый) день с даты начала размещения биржев</w:t>
            </w:r>
            <w:r>
              <w:rPr>
                <w:rFonts w:ascii="Liberation Serif" w:hAnsi="Liberation Serif" w:eastAsia="Liberation Serif" w:cs="Liberation Serif"/>
                <w:b/>
                <w:i w:val="0"/>
                <w:iCs w:val="0"/>
                <w:sz w:val="20"/>
                <w:szCs w:val="20"/>
              </w:rPr>
              <w:t xml:space="preserve">ых облигаций, размещенные по открытой подписке в рамках Программы биржевых облигаций серии 002Р, имеющей идентификационный номер 4-65105-D-002P-02E от 18.10.2016, утвержденной решением Совета директоров ПАО «ОГК-2» 30.09.2016, Протокол от 30.09.2016 № 154,</w:t>
            </w:r>
            <w:r>
              <w:rPr>
                <w:rFonts w:ascii="Liberation Serif" w:hAnsi="Liberation Serif" w:eastAsia="Liberation Serif" w:cs="Liberation Serif"/>
                <w:b/>
                <w:i w:val="0"/>
                <w:iCs w:val="0"/>
                <w:sz w:val="20"/>
                <w:szCs w:val="20"/>
              </w:rPr>
              <w:t xml:space="preserve"> регистрационный номер выпуска 4B02-01-65105-D-002P, дата регистрации 09.07.2020, международный код (номер) идентификации ценных бумаг (ISIN): RU000A101WR0, международный код классификации финансовых инструментов (CFI): DBVUFB (далее – Биржевые облигации).</w:t>
            </w:r>
            <w:r>
              <w:rPr>
                <w:rFonts w:ascii="Liberation Serif" w:hAnsi="Liberation Serif" w:cs="Liberation Serif"/>
                <w:b/>
                <w:i w:val="0"/>
                <w:i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i w:val="0"/>
                <w:iCs w:val="0"/>
                <w:sz w:val="20"/>
                <w:szCs w:val="20"/>
              </w:rPr>
            </w:r>
          </w:p>
          <w:p>
            <w:pPr>
              <w:ind w:left="57" w:right="57"/>
              <w:jc w:val="both"/>
              <w:spacing w:before="0" w:beforeAutospacing="0"/>
              <w:tabs>
                <w:tab w:val="left" w:pos="10472" w:leader="none"/>
              </w:tabs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.2. Категория выплат по ценным бумагам эмитента и (или) иных выплат, причитающихся владельцам ценных бумаг эмитента (дивиденды по акциям; проценты (купонный доход) по облигациям; номинальная стоимость (часть номинальной стоимости) облигаций; иные выплаты):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ind w:left="57" w:right="57"/>
              <w:jc w:val="both"/>
              <w:spacing w:before="0" w:beforeAutospacing="0"/>
              <w:tabs>
                <w:tab w:val="left" w:pos="10472" w:leader="none"/>
              </w:tabs>
              <w:rPr>
                <w:rFonts w:ascii="Liberation Serif" w:hAnsi="Liberation Serif" w:cs="Liberation Serif"/>
                <w:b/>
                <w:i w:val="0"/>
                <w:iCs w:val="0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i w:val="0"/>
                <w:iCs w:val="0"/>
                <w:sz w:val="20"/>
                <w:szCs w:val="20"/>
              </w:rPr>
              <w:t xml:space="preserve">проценты (купонн</w:t>
            </w:r>
            <w:r>
              <w:rPr>
                <w:rFonts w:ascii="Liberation Serif" w:hAnsi="Liberation Serif" w:eastAsia="Liberation Serif" w:cs="Liberation Serif"/>
                <w:b/>
                <w:i w:val="0"/>
                <w:iCs w:val="0"/>
                <w:color w:val="000000" w:themeColor="text1"/>
                <w:sz w:val="20"/>
                <w:szCs w:val="20"/>
              </w:rPr>
              <w:t xml:space="preserve">ый доход) по облигациям.</w:t>
            </w:r>
            <w:r>
              <w:rPr>
                <w:rFonts w:ascii="Liberation Serif" w:hAnsi="Liberation Serif" w:cs="Liberation Serif"/>
                <w:b/>
                <w:i w:val="0"/>
                <w:iCs w:val="0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i w:val="0"/>
                <w:iCs w:val="0"/>
                <w:color w:val="000000" w:themeColor="text1"/>
                <w:sz w:val="20"/>
                <w:szCs w:val="20"/>
              </w:rPr>
            </w:r>
          </w:p>
          <w:p>
            <w:pPr>
              <w:ind w:left="57" w:right="57"/>
              <w:jc w:val="both"/>
              <w:spacing w:before="0" w:beforeAutospacing="0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2.3. Отчетный (купонный) период (год; 3, 6, 9 месяцев года; иной период; даты начала и окончания купонного периода), за который выплачивались доходы по ценным бумагам эмитента: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ind w:left="57" w:right="57"/>
              <w:jc w:val="both"/>
              <w:spacing w:before="0" w:beforeAutospacing="0"/>
              <w:rPr>
                <w:rFonts w:ascii="Liberation Serif" w:hAnsi="Liberation Serif" w:cs="Liberation Serif"/>
                <w:b/>
                <w:i w:val="0"/>
                <w:iCs w:val="0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i w:val="0"/>
                <w:iCs w:val="0"/>
                <w:color w:val="000000" w:themeColor="text1"/>
                <w:sz w:val="20"/>
                <w:szCs w:val="20"/>
              </w:rPr>
              <w:t xml:space="preserve">дата начала двенадцатого</w:t>
            </w:r>
            <w:r>
              <w:rPr>
                <w:rFonts w:ascii="Liberation Serif" w:hAnsi="Liberation Serif" w:eastAsia="Liberation Serif" w:cs="Liberation Serif"/>
                <w:b/>
                <w:i w:val="0"/>
                <w:iCs w:val="0"/>
                <w:color w:val="000000" w:themeColor="text1"/>
                <w:sz w:val="20"/>
                <w:szCs w:val="20"/>
              </w:rPr>
              <w:t xml:space="preserve"> купонного периода: 07</w:t>
            </w:r>
            <w:r>
              <w:rPr>
                <w:rFonts w:ascii="Liberation Serif" w:hAnsi="Liberation Serif" w:eastAsia="Liberation Serif" w:cs="Liberation Serif"/>
                <w:b/>
                <w:i w:val="0"/>
                <w:iCs w:val="0"/>
                <w:color w:val="000000" w:themeColor="text1"/>
                <w:sz w:val="20"/>
                <w:szCs w:val="20"/>
              </w:rPr>
              <w:t xml:space="preserve">.01.2026</w:t>
            </w:r>
            <w:r>
              <w:rPr>
                <w:rFonts w:ascii="Liberation Serif" w:hAnsi="Liberation Serif" w:eastAsia="Liberation Serif" w:cs="Liberation Serif"/>
                <w:b/>
                <w:i w:val="0"/>
                <w:iCs w:val="0"/>
                <w:color w:val="000000" w:themeColor="text1"/>
                <w:sz w:val="20"/>
                <w:szCs w:val="20"/>
              </w:rPr>
              <w:t xml:space="preserve">;</w:t>
            </w:r>
            <w:r>
              <w:rPr>
                <w:rFonts w:ascii="Liberation Serif" w:hAnsi="Liberation Serif" w:cs="Liberation Serif"/>
                <w:b/>
                <w:i w:val="0"/>
                <w:iCs w:val="0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i w:val="0"/>
                <w:iCs w:val="0"/>
                <w:color w:val="000000" w:themeColor="text1"/>
                <w:sz w:val="20"/>
                <w:szCs w:val="20"/>
              </w:rPr>
            </w:r>
          </w:p>
          <w:p>
            <w:pPr>
              <w:ind w:left="57" w:right="57"/>
              <w:jc w:val="both"/>
              <w:spacing w:before="0" w:beforeAutospacing="0"/>
              <w:rPr>
                <w:rFonts w:ascii="Liberation Serif" w:hAnsi="Liberation Serif" w:cs="Liberation Serif"/>
                <w:b/>
                <w:i w:val="0"/>
                <w:iCs w:val="0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i w:val="0"/>
                <w:iCs w:val="0"/>
                <w:color w:val="000000" w:themeColor="text1"/>
                <w:sz w:val="20"/>
                <w:szCs w:val="20"/>
              </w:rPr>
              <w:t xml:space="preserve">дата окончания </w:t>
            </w:r>
            <w:r>
              <w:rPr>
                <w:rFonts w:ascii="Liberation Serif" w:hAnsi="Liberation Serif" w:eastAsia="Liberation Serif" w:cs="Liberation Serif"/>
                <w:b/>
                <w:i w:val="0"/>
                <w:iCs w:val="0"/>
                <w:color w:val="000000" w:themeColor="text1"/>
                <w:sz w:val="20"/>
                <w:szCs w:val="20"/>
              </w:rPr>
              <w:t xml:space="preserve">двенадцатого</w:t>
            </w:r>
            <w:r>
              <w:rPr>
                <w:rFonts w:ascii="Liberation Serif" w:hAnsi="Liberation Serif" w:eastAsia="Liberation Serif" w:cs="Liberation Serif"/>
                <w:b/>
                <w:i w:val="0"/>
                <w:iCs w:val="0"/>
                <w:color w:val="000000" w:themeColor="text1"/>
                <w:sz w:val="20"/>
                <w:szCs w:val="20"/>
              </w:rPr>
              <w:t xml:space="preserve"> купонного периода: </w:t>
            </w:r>
            <w:r>
              <w:rPr>
                <w:rFonts w:ascii="Liberation Serif" w:hAnsi="Liberation Serif" w:eastAsia="Liberation Serif" w:cs="Liberation Serif"/>
                <w:b/>
                <w:i w:val="0"/>
                <w:iCs w:val="0"/>
                <w:color w:val="000000" w:themeColor="text1"/>
                <w:sz w:val="20"/>
                <w:szCs w:val="20"/>
              </w:rPr>
              <w:t xml:space="preserve">08.07.2026.</w:t>
            </w:r>
            <w:r>
              <w:rPr>
                <w:rFonts w:ascii="Liberation Serif" w:hAnsi="Liberation Serif" w:cs="Liberation Serif"/>
                <w:b/>
                <w:i w:val="0"/>
                <w:iCs w:val="0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i w:val="0"/>
                <w:iCs w:val="0"/>
                <w:color w:val="000000" w:themeColor="text1"/>
                <w:sz w:val="20"/>
                <w:szCs w:val="20"/>
              </w:rPr>
            </w:r>
          </w:p>
          <w:p>
            <w:pPr>
              <w:ind w:left="57" w:right="57"/>
              <w:jc w:val="both"/>
              <w:spacing w:before="0" w:beforeAutospacing="0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2.4. Общий размер выплаченных доходов по ценным бумагам эмитента, а также иных выплат, причитающихся владельцам ценных бумаг эмитента: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ind w:left="57" w:right="57"/>
              <w:jc w:val="both"/>
              <w:spacing w:before="0" w:beforeAutospacing="0"/>
              <w:rPr>
                <w:rStyle w:val="851"/>
                <w:rFonts w:ascii="Liberation Serif" w:hAnsi="Liberation Serif" w:cs="Liberation Serif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Style w:val="851"/>
                <w:rFonts w:ascii="Liberation Serif" w:hAnsi="Liberation Serif" w:eastAsia="Liberation Serif" w:cs="Liberation Serif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r>
            <w:r>
              <w:rPr>
                <w:rStyle w:val="851"/>
                <w:rFonts w:ascii="Liberation Serif" w:hAnsi="Liberation Serif" w:eastAsia="Liberation Serif" w:cs="Liberation Serif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231 062 003 </w:t>
            </w:r>
            <w:r>
              <w:rPr>
                <w:rStyle w:val="851"/>
                <w:rFonts w:ascii="Liberation Serif" w:hAnsi="Liberation Serif" w:eastAsia="Liberation Serif" w:cs="Liberation Serif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(Двести </w:t>
            </w:r>
            <w:r>
              <w:rPr>
                <w:rStyle w:val="851"/>
                <w:rFonts w:ascii="Liberation Serif" w:hAnsi="Liberation Serif" w:eastAsia="Liberation Serif" w:cs="Liberation Serif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тридцать </w:t>
            </w:r>
            <w:r>
              <w:rPr>
                <w:rStyle w:val="851"/>
                <w:rFonts w:ascii="Liberation Serif" w:hAnsi="Liberation Serif" w:eastAsia="Liberation Serif" w:cs="Liberation Serif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оди</w:t>
            </w:r>
            <w:r>
              <w:rPr>
                <w:rStyle w:val="851"/>
                <w:rFonts w:ascii="Liberation Serif" w:hAnsi="Liberation Serif" w:eastAsia="Liberation Serif" w:cs="Liberation Serif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н м</w:t>
            </w:r>
            <w:r>
              <w:rPr>
                <w:rStyle w:val="851"/>
                <w:rFonts w:ascii="Liberation Serif" w:hAnsi="Liberation Serif" w:eastAsia="Liberation Serif" w:cs="Liberation Serif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иллион шестьдесят две тысячи три) рубля 80 копеек.</w:t>
            </w:r>
            <w:r>
              <w:rPr>
                <w:rStyle w:val="851"/>
                <w:rFonts w:ascii="Liberation Serif" w:hAnsi="Liberation Serif" w:cs="Liberation Serif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r>
            <w:r>
              <w:rPr>
                <w:rStyle w:val="851"/>
                <w:rFonts w:ascii="Liberation Serif" w:hAnsi="Liberation Serif" w:cs="Liberation Serif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r>
          </w:p>
          <w:p>
            <w:pPr>
              <w:ind w:left="57" w:right="57"/>
              <w:jc w:val="both"/>
              <w:spacing w:before="0" w:beforeAutospacing="0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2.5. Размер выплаченных доходов, а также иных выплат в расчете на одну ценную бумагу эмитента: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ind w:left="57" w:right="57"/>
              <w:jc w:val="both"/>
              <w:spacing w:before="0" w:beforeAutospacing="0"/>
              <w:rPr>
                <w:rFonts w:ascii="Liberation Serif" w:hAnsi="Liberation Serif" w:cs="Liberation Serif"/>
                <w:b/>
                <w:i w:val="0"/>
                <w:iCs w:val="0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Style w:val="851"/>
                <w:rFonts w:ascii="Liberation Serif" w:hAnsi="Liberation Serif" w:eastAsia="Liberation Serif" w:cs="Liberation Serif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50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 (пятьдесят) рублей 36 (тридцать шесть) копеек </w:t>
            </w:r>
            <w:r>
              <w:rPr>
                <w:rFonts w:ascii="Liberation Serif" w:hAnsi="Liberation Serif" w:eastAsia="Liberation Serif" w:cs="Liberation Serif"/>
                <w:b/>
                <w:i w:val="0"/>
                <w:iCs w:val="0"/>
                <w:color w:val="000000" w:themeColor="text1"/>
                <w:sz w:val="20"/>
                <w:szCs w:val="20"/>
              </w:rPr>
              <w:t xml:space="preserve">на одну Биржевую облигацию за двенадцатый</w:t>
            </w:r>
            <w:r>
              <w:rPr>
                <w:rFonts w:ascii="Liberation Serif" w:hAnsi="Liberation Serif" w:eastAsia="Liberation Serif" w:cs="Liberation Serif"/>
                <w:b/>
                <w:i w:val="0"/>
                <w:iCs w:val="0"/>
                <w:color w:val="000000" w:themeColor="text1"/>
                <w:sz w:val="20"/>
                <w:szCs w:val="20"/>
              </w:rPr>
              <w:t xml:space="preserve"> купонный период.</w:t>
            </w:r>
            <w:r>
              <w:rPr>
                <w:rFonts w:ascii="Liberation Serif" w:hAnsi="Liberation Serif" w:cs="Liberation Serif"/>
                <w:b/>
                <w:i w:val="0"/>
                <w:iCs w:val="0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i w:val="0"/>
                <w:iCs w:val="0"/>
                <w:color w:val="000000" w:themeColor="text1"/>
                <w:sz w:val="20"/>
                <w:szCs w:val="20"/>
              </w:rPr>
            </w:r>
          </w:p>
          <w:p>
            <w:pPr>
              <w:ind w:left="57" w:right="57"/>
              <w:jc w:val="both"/>
              <w:spacing w:before="0" w:beforeAutospacing="0"/>
              <w:rPr>
                <w:rFonts w:ascii="Liberation Serif" w:hAnsi="Liberation Serif" w:cs="Liberation Serif"/>
                <w:i w:val="0"/>
                <w:iCs w:val="0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2.6. Общее количество ценных бумаг эмитента (количество акций эмитента определенной категории (типа); количество облигаций определенного выпуска), по которым выплачены доходы и (или) осуществлены иные выплаты: 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4 588 205 (Четыре миллиона пятьсот восемьдесят восемь тысяч двести пять) 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штук.*</w:t>
            </w:r>
            <w:r>
              <w:rPr>
                <w:rFonts w:ascii="Liberation Serif" w:hAnsi="Liberation Serif" w:cs="Liberation Serif"/>
                <w:i w:val="0"/>
                <w:iCs w:val="0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i w:val="0"/>
                <w:iCs w:val="0"/>
                <w:color w:val="000000" w:themeColor="text1"/>
                <w:sz w:val="20"/>
                <w:szCs w:val="20"/>
              </w:rPr>
            </w:r>
          </w:p>
          <w:p>
            <w:pPr>
              <w:ind w:left="57" w:right="57"/>
              <w:jc w:val="both"/>
              <w:spacing w:before="0" w:beforeAutospacing="0"/>
              <w:rPr>
                <w:rFonts w:ascii="Liberation Serif" w:hAnsi="Liberation Serif" w:cs="Liberation Serif"/>
                <w:i w:val="0"/>
                <w:iCs w:val="0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* 17.07.2023 эмитентом приобретены Биржевые облигации в количестве 411 795 (Четыреста одиннадцать тысяч семьсот девяносто пять) штук по цене приобретения Биржевых облигаций, 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определенной как 100 (сто) процентов от непогашенной части номинальной стоимости Биржевых облигаций и составляющей 1000 (Одна тысяча) рублей.</w:t>
            </w:r>
            <w:r>
              <w:rPr>
                <w:rFonts w:ascii="Liberation Serif" w:hAnsi="Liberation Serif" w:cs="Liberation Serif"/>
                <w:i w:val="0"/>
                <w:iCs w:val="0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i w:val="0"/>
                <w:iCs w:val="0"/>
                <w:color w:val="000000" w:themeColor="text1"/>
                <w:sz w:val="20"/>
                <w:szCs w:val="20"/>
              </w:rPr>
            </w:r>
          </w:p>
          <w:p>
            <w:pPr>
              <w:ind w:left="57" w:right="57"/>
              <w:jc w:val="both"/>
              <w:spacing w:before="0" w:beforeAutospacing="0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2.7. Форма выплаты доходов по ценным бумагам эмитента и (или) осуществления иных выплат, причитающихся владельцам ценных бумаг эмитента (денежные средства):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ind w:left="57" w:right="57"/>
              <w:jc w:val="both"/>
              <w:spacing w:before="0" w:beforeAutospacing="0"/>
              <w:rPr>
                <w:rFonts w:ascii="Liberation Serif" w:hAnsi="Liberation Serif" w:cs="Liberation Serif"/>
                <w:i w:val="0"/>
                <w:iCs w:val="0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i w:val="0"/>
                <w:iCs w:val="0"/>
                <w:color w:val="000000" w:themeColor="text1"/>
                <w:sz w:val="20"/>
                <w:szCs w:val="20"/>
              </w:rPr>
              <w:t xml:space="preserve">денежные средства в валюте Российской Федерации.</w:t>
            </w:r>
            <w:r>
              <w:rPr>
                <w:rFonts w:ascii="Liberation Serif" w:hAnsi="Liberation Serif" w:cs="Liberation Serif"/>
                <w:i w:val="0"/>
                <w:iCs w:val="0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i w:val="0"/>
                <w:iCs w:val="0"/>
                <w:color w:val="000000" w:themeColor="text1"/>
                <w:sz w:val="20"/>
                <w:szCs w:val="20"/>
              </w:rPr>
            </w:r>
          </w:p>
          <w:p>
            <w:pPr>
              <w:ind w:left="57" w:right="57"/>
              <w:jc w:val="both"/>
              <w:spacing w:before="0" w:beforeAutospacing="0"/>
              <w:rPr>
                <w:rFonts w:ascii="Liberation Serif" w:hAnsi="Liberation Serif" w:cs="Liberation Serif"/>
                <w:i w:val="0"/>
                <w:iCs w:val="0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2.8. Дата, на которую определялись лица, имевшие право на получение дивидендов, в случае, если выплаченными доходами по ценным бумагам эмитента являются дивиденды по акциям эмитента:</w:t>
            </w:r>
            <w:r>
              <w:rPr>
                <w:rFonts w:ascii="Liberation Serif" w:hAnsi="Liberation Serif" w:eastAsia="Liberation Serif" w:cs="Liberation Serif"/>
                <w:i w:val="0"/>
                <w:iCs w:val="0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i w:val="0"/>
                <w:iCs w:val="0"/>
                <w:color w:val="000000" w:themeColor="text1"/>
                <w:sz w:val="20"/>
                <w:szCs w:val="20"/>
              </w:rPr>
              <w:t xml:space="preserve">не применимо.</w:t>
            </w:r>
            <w:r>
              <w:rPr>
                <w:rFonts w:ascii="Liberation Serif" w:hAnsi="Liberation Serif" w:cs="Liberation Serif"/>
                <w:i w:val="0"/>
                <w:iCs w:val="0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i w:val="0"/>
                <w:iCs w:val="0"/>
                <w:color w:val="000000" w:themeColor="text1"/>
                <w:sz w:val="20"/>
                <w:szCs w:val="20"/>
              </w:rPr>
            </w:r>
          </w:p>
          <w:p>
            <w:pPr>
              <w:ind w:left="57" w:right="57"/>
              <w:jc w:val="both"/>
              <w:spacing w:before="0" w:beforeAutospacing="0"/>
              <w:rPr>
                <w:rFonts w:ascii="Liberation Serif" w:hAnsi="Liberation Serif" w:cs="Liberation Serif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2.9. Дата, в которую обязанность по выплате доходов по ценным бумага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м эмитента и (или) осуществлению иных выплат, причитающихся владельцам ценных бумаг эмитента, должна быть исполнена, а если указанная обязанность должна быть исполнена эмитентом в течение определенного срока (периода времени) - дата окончания этого срока: 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08.07.2026.</w:t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r>
          </w:p>
          <w:p>
            <w:pPr>
              <w:ind w:left="57" w:right="57"/>
              <w:jc w:val="both"/>
              <w:spacing w:before="0" w:beforeAutospacing="0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2.10. Объем (в процентах), в котором исполнено обязательство по выплате доходов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 по ценным бумагам эмитента и (или) осуществлению иных выплат, причитающихся владельцам ценных бумаг эмитента, а также причины исполнения указанного обязательства не в полном объеме, в случае если такое обязательство исполнено эмитентом не в полном объеме: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ind w:left="57" w:right="57"/>
              <w:jc w:val="both"/>
              <w:spacing w:before="0" w:beforeAutospacing="0"/>
              <w:rPr>
                <w:rFonts w:ascii="Liberation Serif" w:hAnsi="Liberation Serif" w:cs="Liberation Serif"/>
                <w:i w:val="0"/>
                <w:iCs w:val="0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i w:val="0"/>
                <w:iCs w:val="0"/>
                <w:sz w:val="20"/>
                <w:szCs w:val="20"/>
                <w:lang w:eastAsia="en-US"/>
              </w:rPr>
              <w:t xml:space="preserve">Обязательство эмитента по выплате доходов по </w:t>
            </w:r>
            <w:r>
              <w:rPr>
                <w:rFonts w:ascii="Liberation Serif" w:hAnsi="Liberation Serif" w:eastAsia="Liberation Serif" w:cs="Liberation Serif"/>
                <w:b/>
                <w:i w:val="0"/>
                <w:iCs w:val="0"/>
                <w:sz w:val="20"/>
                <w:szCs w:val="20"/>
                <w:lang w:eastAsia="en-US"/>
              </w:rPr>
              <w:t xml:space="preserve">двенадцатому</w:t>
            </w:r>
            <w:r>
              <w:rPr>
                <w:rFonts w:ascii="Liberation Serif" w:hAnsi="Liberation Serif" w:eastAsia="Liberation Serif" w:cs="Liberation Serif"/>
                <w:b/>
                <w:i w:val="0"/>
                <w:iCs w:val="0"/>
                <w:color w:val="ff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i w:val="0"/>
                <w:iCs w:val="0"/>
                <w:sz w:val="20"/>
                <w:szCs w:val="20"/>
                <w:lang w:eastAsia="en-US"/>
              </w:rPr>
              <w:t xml:space="preserve">купонному периоду по Биржевым облигациям исполнено в полном объеме (100%).</w:t>
            </w:r>
            <w:r>
              <w:rPr>
                <w:rFonts w:ascii="Liberation Serif" w:hAnsi="Liberation Serif" w:cs="Liberation Serif"/>
                <w:i w:val="0"/>
                <w:i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i w:val="0"/>
                <w:iCs w:val="0"/>
                <w:sz w:val="20"/>
                <w:szCs w:val="20"/>
              </w:rPr>
            </w:r>
          </w:p>
        </w:tc>
      </w:tr>
    </w:tbl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ind w:firstLine="540"/>
        <w:jc w:val="center"/>
        <w:rPr>
          <w:rFonts w:ascii="Liberation Serif" w:hAnsi="Liberation Serif" w:cs="Liberation Serif"/>
          <w:b/>
          <w:bCs/>
          <w:sz w:val="20"/>
          <w:szCs w:val="20"/>
        </w:rPr>
        <w:outlineLvl w:val="0"/>
      </w:pPr>
      <w:r>
        <w:rPr>
          <w:rFonts w:ascii="Liberation Serif" w:hAnsi="Liberation Serif" w:eastAsia="Liberation Serif" w:cs="Liberation Serif"/>
          <w:b/>
          <w:bCs/>
          <w:sz w:val="20"/>
          <w:szCs w:val="20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</w:p>
    <w:tbl>
      <w:tblPr>
        <w:tblW w:w="10067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9"/>
        <w:gridCol w:w="511"/>
        <w:gridCol w:w="57"/>
        <w:gridCol w:w="1164"/>
        <w:gridCol w:w="538"/>
        <w:gridCol w:w="567"/>
        <w:gridCol w:w="990"/>
        <w:gridCol w:w="2"/>
        <w:gridCol w:w="1170"/>
        <w:gridCol w:w="2"/>
        <w:gridCol w:w="460"/>
        <w:gridCol w:w="3072"/>
        <w:gridCol w:w="393"/>
        <w:gridCol w:w="2"/>
      </w:tblGrid>
      <w:tr>
        <w:tblPrEx/>
        <w:trPr>
          <w:cantSplit/>
          <w:gridAfter w:val="1"/>
          <w:trHeight w:val="248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3. Подпись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cantSplit/>
          <w:gridAfter w:val="1"/>
          <w:trHeight w:val="963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</w:tcBorders>
            <w:tcW w:w="4965" w:type="dxa"/>
            <w:textDirection w:val="lrTb"/>
            <w:noWrap w:val="false"/>
          </w:tcPr>
          <w:p>
            <w:pPr>
              <w:pStyle w:val="852"/>
              <w:ind w:left="0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3.1. 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0"/>
                <w:szCs w:val="20"/>
              </w:rPr>
              <w:t xml:space="preserve">Начальник Управления корпоративных и имущественных отношений, действующий на основании доверенности №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0"/>
                <w:szCs w:val="20"/>
              </w:rPr>
              <w:t xml:space="preserve">78/362-н/78-2025-3-1278 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0"/>
                <w:szCs w:val="20"/>
              </w:rPr>
              <w:t xml:space="preserve">от 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0"/>
                <w:szCs w:val="20"/>
              </w:rPr>
              <w:t xml:space="preserve">10.12.2025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4"/>
            <w:tcBorders>
              <w:top w:val="single" w:color="000000" w:sz="4" w:space="0"/>
              <w:bottom w:val="single" w:color="000000" w:sz="4" w:space="0"/>
            </w:tcBorders>
            <w:tcW w:w="1635" w:type="dxa"/>
            <w:vAlign w:val="bottom"/>
            <w:textDirection w:val="lrTb"/>
            <w:noWrap w:val="false"/>
          </w:tcPr>
          <w:p>
            <w:pPr>
              <w:ind w:left="113" w:right="113"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</w:tcBorders>
            <w:tcW w:w="3072" w:type="dxa"/>
            <w:vAlign w:val="bottom"/>
            <w:textDirection w:val="lrTb"/>
            <w:noWrap w:val="false"/>
          </w:tcPr>
          <w:p>
            <w:pPr>
              <w:ind w:left="113" w:right="113"/>
              <w:jc w:val="right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Е.Н. Егорова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</w:tcBorders>
            <w:tcW w:w="393" w:type="dxa"/>
            <w:vAlign w:val="bottom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b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</w:r>
          </w:p>
        </w:tc>
      </w:tr>
      <w:tr>
        <w:tblPrEx/>
        <w:trPr>
          <w:cantSplit/>
          <w:gridAfter w:val="1"/>
          <w:trHeight w:val="280" w:hRule="exact"/>
        </w:trPr>
        <w:tc>
          <w:tcPr>
            <w:gridSpan w:val="7"/>
            <w:tcBorders>
              <w:left w:val="single" w:color="000000" w:sz="4" w:space="0"/>
            </w:tcBorders>
            <w:tcW w:w="4965" w:type="dxa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b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</w:r>
          </w:p>
        </w:tc>
        <w:tc>
          <w:tcPr>
            <w:gridSpan w:val="4"/>
            <w:tcW w:w="1635" w:type="dxa"/>
            <w:textDirection w:val="lrTb"/>
            <w:noWrap w:val="false"/>
          </w:tcPr>
          <w:p>
            <w:pPr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(подпись)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W w:w="3072" w:type="dxa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right w:val="single" w:color="000000" w:sz="4" w:space="0"/>
            </w:tcBorders>
            <w:tcW w:w="393" w:type="dxa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cantSplit/>
        </w:trPr>
        <w:tc>
          <w:tcPr>
            <w:tcBorders>
              <w:left w:val="single" w:color="000000" w:sz="4" w:space="0"/>
            </w:tcBorders>
            <w:tcW w:w="1139" w:type="dxa"/>
            <w:vAlign w:val="bottom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3.2. Дата 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 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cW w:w="511" w:type="dxa"/>
            <w:vAlign w:val="bottom"/>
            <w:textDirection w:val="lrTb"/>
            <w:noWrap w:val="false"/>
          </w:tcPr>
          <w:p>
            <w:pPr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08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W w:w="57" w:type="dxa"/>
            <w:vAlign w:val="bottom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cW w:w="1164" w:type="dxa"/>
            <w:vAlign w:val="bottom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июля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W w:w="538" w:type="dxa"/>
            <w:vAlign w:val="bottom"/>
            <w:textDirection w:val="lrTb"/>
            <w:noWrap w:val="false"/>
          </w:tcPr>
          <w:p>
            <w:pPr>
              <w:ind w:left="113" w:right="113"/>
              <w:jc w:val="right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20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26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2"/>
            <w:tcW w:w="992" w:type="dxa"/>
            <w:vAlign w:val="bottom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2"/>
            <w:tcW w:w="1173" w:type="dxa"/>
            <w:vAlign w:val="bottom"/>
            <w:textDirection w:val="lrTb"/>
            <w:noWrap w:val="false"/>
          </w:tcPr>
          <w:p>
            <w:pPr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4"/>
            <w:tcBorders>
              <w:right w:val="single" w:color="000000" w:sz="4" w:space="0"/>
            </w:tcBorders>
            <w:tcW w:w="3927" w:type="dxa"/>
            <w:vAlign w:val="bottom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cantSplit/>
          <w:gridAfter w:val="1"/>
        </w:trPr>
        <w:tc>
          <w:tcPr>
            <w:gridSpan w:val="7"/>
            <w:tcBorders>
              <w:left w:val="single" w:color="000000" w:sz="4" w:space="0"/>
              <w:bottom w:val="single" w:color="000000" w:sz="4" w:space="0"/>
            </w:tcBorders>
            <w:tcW w:w="4965" w:type="dxa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4"/>
            <w:tcBorders>
              <w:bottom w:val="single" w:color="000000" w:sz="4" w:space="0"/>
              <w:right w:val="single" w:color="000000" w:sz="4" w:space="0"/>
            </w:tcBorders>
            <w:tcW w:w="3927" w:type="dxa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</w:tbl>
    <w:p>
      <w:pPr>
        <w:ind w:left="113" w:right="113"/>
        <w:rPr>
          <w:rFonts w:ascii="Liberation Serif" w:hAnsi="Liberation Serif" w:cs="Liberation Serif"/>
          <w:sz w:val="20"/>
          <w:szCs w:val="20"/>
        </w:rPr>
        <w:suppressLineNumbers w:val="0"/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sectPr>
      <w:footnotePr/>
      <w:endnotePr/>
      <w:type w:val="nextPage"/>
      <w:pgSz w:w="11906" w:h="16838" w:orient="portrait"/>
      <w:pgMar w:top="567" w:right="851" w:bottom="567" w:left="1134" w:header="0" w:footer="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WenQuanYi Micro Hei">
    <w:panose1 w:val="020B0604020202020204"/>
  </w:font>
  <w:font w:name="Lohit Devanagari">
    <w:panose1 w:val="020B0604020202020204"/>
  </w:font>
  <w:font w:name="Open Sans">
    <w:panose1 w:val="020B0606030504020204"/>
  </w:font>
  <w:font w:name="Tahoma">
    <w:panose1 w:val="020B0606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cs="Times New Roman" w:asciiTheme="minorHAnsi" w:hAnsiTheme="minorHAnsi" w:eastAsiaTheme="minorEastAsia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29"/>
    <w:next w:val="829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0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29"/>
    <w:next w:val="829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0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29"/>
    <w:next w:val="829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0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29"/>
    <w:next w:val="829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0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29"/>
    <w:next w:val="829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0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29"/>
    <w:next w:val="829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0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29"/>
    <w:next w:val="829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0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29"/>
    <w:next w:val="829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0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29"/>
    <w:next w:val="829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0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Title"/>
    <w:basedOn w:val="829"/>
    <w:next w:val="829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0"/>
    <w:link w:val="674"/>
    <w:uiPriority w:val="10"/>
    <w:rPr>
      <w:sz w:val="48"/>
      <w:szCs w:val="48"/>
    </w:rPr>
  </w:style>
  <w:style w:type="paragraph" w:styleId="676">
    <w:name w:val="Subtitle"/>
    <w:basedOn w:val="829"/>
    <w:next w:val="829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0"/>
    <w:link w:val="676"/>
    <w:uiPriority w:val="11"/>
    <w:rPr>
      <w:sz w:val="24"/>
      <w:szCs w:val="24"/>
    </w:rPr>
  </w:style>
  <w:style w:type="paragraph" w:styleId="678">
    <w:name w:val="Quote"/>
    <w:basedOn w:val="829"/>
    <w:next w:val="829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29"/>
    <w:next w:val="829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character" w:styleId="682">
    <w:name w:val="Header Char"/>
    <w:basedOn w:val="830"/>
    <w:link w:val="845"/>
    <w:uiPriority w:val="99"/>
  </w:style>
  <w:style w:type="character" w:styleId="683">
    <w:name w:val="Footer Char"/>
    <w:basedOn w:val="830"/>
    <w:link w:val="846"/>
    <w:uiPriority w:val="99"/>
  </w:style>
  <w:style w:type="character" w:styleId="684">
    <w:name w:val="Caption Char"/>
    <w:basedOn w:val="830"/>
    <w:link w:val="842"/>
    <w:uiPriority w:val="35"/>
    <w:rPr>
      <w:b/>
      <w:bCs/>
      <w:color w:val="4f81bd" w:themeColor="accent1"/>
      <w:sz w:val="18"/>
      <w:szCs w:val="18"/>
    </w:rPr>
  </w:style>
  <w:style w:type="table" w:styleId="685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6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8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0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2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4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5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6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7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8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9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0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1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7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8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9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0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1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2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3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9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0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1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2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3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4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5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7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8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9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0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1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2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3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4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5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6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7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8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9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0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1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2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3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4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5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6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7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9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0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1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2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3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4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5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6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7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8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9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0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1">
    <w:name w:val="Hyperlink"/>
    <w:uiPriority w:val="99"/>
    <w:unhideWhenUsed/>
    <w:rPr>
      <w:color w:val="0000ff" w:themeColor="hyperlink"/>
      <w:u w:val="single"/>
    </w:rPr>
  </w:style>
  <w:style w:type="paragraph" w:styleId="812">
    <w:name w:val="footnote text"/>
    <w:basedOn w:val="829"/>
    <w:link w:val="813"/>
    <w:uiPriority w:val="99"/>
    <w:semiHidden/>
    <w:unhideWhenUsed/>
    <w:pPr>
      <w:spacing w:after="40" w:line="240" w:lineRule="auto"/>
    </w:pPr>
    <w:rPr>
      <w:sz w:val="18"/>
    </w:rPr>
  </w:style>
  <w:style w:type="character" w:styleId="813">
    <w:name w:val="Footnote Text Char"/>
    <w:link w:val="812"/>
    <w:uiPriority w:val="99"/>
    <w:rPr>
      <w:sz w:val="18"/>
    </w:rPr>
  </w:style>
  <w:style w:type="character" w:styleId="814">
    <w:name w:val="footnote reference"/>
    <w:basedOn w:val="830"/>
    <w:uiPriority w:val="99"/>
    <w:unhideWhenUsed/>
    <w:rPr>
      <w:vertAlign w:val="superscript"/>
    </w:rPr>
  </w:style>
  <w:style w:type="paragraph" w:styleId="815">
    <w:name w:val="endnote text"/>
    <w:basedOn w:val="829"/>
    <w:link w:val="816"/>
    <w:uiPriority w:val="99"/>
    <w:semiHidden/>
    <w:unhideWhenUsed/>
    <w:pPr>
      <w:spacing w:after="0" w:line="240" w:lineRule="auto"/>
    </w:pPr>
    <w:rPr>
      <w:sz w:val="20"/>
    </w:rPr>
  </w:style>
  <w:style w:type="character" w:styleId="816">
    <w:name w:val="Endnote Text Char"/>
    <w:link w:val="815"/>
    <w:uiPriority w:val="99"/>
    <w:rPr>
      <w:sz w:val="20"/>
    </w:rPr>
  </w:style>
  <w:style w:type="character" w:styleId="817">
    <w:name w:val="endnote reference"/>
    <w:basedOn w:val="830"/>
    <w:uiPriority w:val="99"/>
    <w:semiHidden/>
    <w:unhideWhenUsed/>
    <w:rPr>
      <w:vertAlign w:val="superscript"/>
    </w:rPr>
  </w:style>
  <w:style w:type="paragraph" w:styleId="818">
    <w:name w:val="toc 1"/>
    <w:basedOn w:val="829"/>
    <w:next w:val="829"/>
    <w:uiPriority w:val="39"/>
    <w:unhideWhenUsed/>
    <w:pPr>
      <w:ind w:left="0" w:right="0" w:firstLine="0"/>
      <w:spacing w:after="57"/>
    </w:pPr>
  </w:style>
  <w:style w:type="paragraph" w:styleId="819">
    <w:name w:val="toc 2"/>
    <w:basedOn w:val="829"/>
    <w:next w:val="829"/>
    <w:uiPriority w:val="39"/>
    <w:unhideWhenUsed/>
    <w:pPr>
      <w:ind w:left="283" w:right="0" w:firstLine="0"/>
      <w:spacing w:after="57"/>
    </w:pPr>
  </w:style>
  <w:style w:type="paragraph" w:styleId="820">
    <w:name w:val="toc 3"/>
    <w:basedOn w:val="829"/>
    <w:next w:val="829"/>
    <w:uiPriority w:val="39"/>
    <w:unhideWhenUsed/>
    <w:pPr>
      <w:ind w:left="567" w:right="0" w:firstLine="0"/>
      <w:spacing w:after="57"/>
    </w:pPr>
  </w:style>
  <w:style w:type="paragraph" w:styleId="821">
    <w:name w:val="toc 4"/>
    <w:basedOn w:val="829"/>
    <w:next w:val="829"/>
    <w:uiPriority w:val="39"/>
    <w:unhideWhenUsed/>
    <w:pPr>
      <w:ind w:left="850" w:right="0" w:firstLine="0"/>
      <w:spacing w:after="57"/>
    </w:pPr>
  </w:style>
  <w:style w:type="paragraph" w:styleId="822">
    <w:name w:val="toc 5"/>
    <w:basedOn w:val="829"/>
    <w:next w:val="829"/>
    <w:uiPriority w:val="39"/>
    <w:unhideWhenUsed/>
    <w:pPr>
      <w:ind w:left="1134" w:right="0" w:firstLine="0"/>
      <w:spacing w:after="57"/>
    </w:pPr>
  </w:style>
  <w:style w:type="paragraph" w:styleId="823">
    <w:name w:val="toc 6"/>
    <w:basedOn w:val="829"/>
    <w:next w:val="829"/>
    <w:uiPriority w:val="39"/>
    <w:unhideWhenUsed/>
    <w:pPr>
      <w:ind w:left="1417" w:right="0" w:firstLine="0"/>
      <w:spacing w:after="57"/>
    </w:pPr>
  </w:style>
  <w:style w:type="paragraph" w:styleId="824">
    <w:name w:val="toc 7"/>
    <w:basedOn w:val="829"/>
    <w:next w:val="829"/>
    <w:uiPriority w:val="39"/>
    <w:unhideWhenUsed/>
    <w:pPr>
      <w:ind w:left="1701" w:right="0" w:firstLine="0"/>
      <w:spacing w:after="57"/>
    </w:pPr>
  </w:style>
  <w:style w:type="paragraph" w:styleId="825">
    <w:name w:val="toc 8"/>
    <w:basedOn w:val="829"/>
    <w:next w:val="829"/>
    <w:uiPriority w:val="39"/>
    <w:unhideWhenUsed/>
    <w:pPr>
      <w:ind w:left="1984" w:right="0" w:firstLine="0"/>
      <w:spacing w:after="57"/>
    </w:pPr>
  </w:style>
  <w:style w:type="paragraph" w:styleId="826">
    <w:name w:val="toc 9"/>
    <w:basedOn w:val="829"/>
    <w:next w:val="829"/>
    <w:uiPriority w:val="39"/>
    <w:unhideWhenUsed/>
    <w:pPr>
      <w:ind w:left="2268" w:right="0" w:firstLine="0"/>
      <w:spacing w:after="57"/>
    </w:pPr>
  </w:style>
  <w:style w:type="paragraph" w:styleId="827">
    <w:name w:val="TOC Heading"/>
    <w:uiPriority w:val="39"/>
    <w:unhideWhenUsed/>
  </w:style>
  <w:style w:type="paragraph" w:styleId="828">
    <w:name w:val="table of figures"/>
    <w:basedOn w:val="829"/>
    <w:next w:val="829"/>
    <w:uiPriority w:val="99"/>
    <w:unhideWhenUsed/>
    <w:pPr>
      <w:spacing w:after="0" w:afterAutospacing="0"/>
    </w:pPr>
  </w:style>
  <w:style w:type="paragraph" w:styleId="829" w:default="1">
    <w:name w:val="Normal"/>
    <w:qFormat/>
    <w:rPr>
      <w:rFonts w:ascii="Times New Roman" w:hAnsi="Times New Roman"/>
      <w:sz w:val="20"/>
      <w:szCs w:val="20"/>
    </w:rPr>
  </w:style>
  <w:style w:type="character" w:styleId="830" w:default="1">
    <w:name w:val="Default Paragraph Font"/>
    <w:uiPriority w:val="1"/>
    <w:semiHidden/>
    <w:unhideWhenUsed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character" w:styleId="833" w:customStyle="1">
    <w:name w:val="Верхний колонтитул Знак"/>
    <w:basedOn w:val="830"/>
    <w:link w:val="845"/>
    <w:uiPriority w:val="99"/>
    <w:semiHidden/>
    <w:qFormat/>
    <w:rPr>
      <w:rFonts w:ascii="Times New Roman" w:hAnsi="Times New Roman" w:cs="Times New Roman"/>
      <w:sz w:val="20"/>
      <w:szCs w:val="20"/>
    </w:rPr>
  </w:style>
  <w:style w:type="character" w:styleId="834">
    <w:name w:val="annotation reference"/>
    <w:basedOn w:val="830"/>
    <w:uiPriority w:val="99"/>
    <w:semiHidden/>
    <w:unhideWhenUsed/>
    <w:qFormat/>
    <w:rPr>
      <w:sz w:val="16"/>
      <w:szCs w:val="16"/>
    </w:rPr>
  </w:style>
  <w:style w:type="character" w:styleId="835" w:customStyle="1">
    <w:name w:val="Нижний колонтитул Знак"/>
    <w:basedOn w:val="830"/>
    <w:link w:val="846"/>
    <w:uiPriority w:val="99"/>
    <w:semiHidden/>
    <w:qFormat/>
    <w:rPr>
      <w:rFonts w:ascii="Times New Roman" w:hAnsi="Times New Roman" w:cs="Times New Roman"/>
      <w:sz w:val="20"/>
      <w:szCs w:val="20"/>
    </w:rPr>
  </w:style>
  <w:style w:type="character" w:styleId="836" w:customStyle="1">
    <w:name w:val="Текст примечания Знак"/>
    <w:basedOn w:val="830"/>
    <w:link w:val="847"/>
    <w:uiPriority w:val="99"/>
    <w:semiHidden/>
    <w:qFormat/>
    <w:rPr>
      <w:rFonts w:ascii="Times New Roman" w:hAnsi="Times New Roman"/>
      <w:sz w:val="20"/>
      <w:szCs w:val="20"/>
    </w:rPr>
  </w:style>
  <w:style w:type="character" w:styleId="837" w:customStyle="1">
    <w:name w:val="Тема примечания Знак"/>
    <w:basedOn w:val="836"/>
    <w:link w:val="848"/>
    <w:uiPriority w:val="99"/>
    <w:semiHidden/>
    <w:qFormat/>
    <w:rPr>
      <w:rFonts w:ascii="Times New Roman" w:hAnsi="Times New Roman"/>
      <w:b/>
      <w:bCs/>
      <w:sz w:val="20"/>
      <w:szCs w:val="20"/>
    </w:rPr>
  </w:style>
  <w:style w:type="character" w:styleId="838" w:customStyle="1">
    <w:name w:val="Текст выноски Знак"/>
    <w:basedOn w:val="830"/>
    <w:link w:val="849"/>
    <w:uiPriority w:val="99"/>
    <w:semiHidden/>
    <w:qFormat/>
    <w:rPr>
      <w:rFonts w:ascii="Tahoma" w:hAnsi="Tahoma" w:cs="Tahoma"/>
      <w:sz w:val="16"/>
      <w:szCs w:val="16"/>
    </w:rPr>
  </w:style>
  <w:style w:type="paragraph" w:styleId="839" w:customStyle="1">
    <w:name w:val="Заголовок"/>
    <w:basedOn w:val="829"/>
    <w:next w:val="840"/>
    <w:qFormat/>
    <w:pPr>
      <w:keepNext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840">
    <w:name w:val="Body Text"/>
    <w:basedOn w:val="829"/>
    <w:pPr>
      <w:spacing w:after="140" w:line="276" w:lineRule="auto"/>
    </w:pPr>
  </w:style>
  <w:style w:type="paragraph" w:styleId="841">
    <w:name w:val="List"/>
    <w:basedOn w:val="840"/>
    <w:rPr>
      <w:rFonts w:cs="Lohit Devanagari"/>
    </w:rPr>
  </w:style>
  <w:style w:type="paragraph" w:styleId="842">
    <w:name w:val="Caption"/>
    <w:basedOn w:val="829"/>
    <w:link w:val="684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843">
    <w:name w:val="index heading"/>
    <w:basedOn w:val="829"/>
    <w:qFormat/>
    <w:pPr>
      <w:suppressLineNumbers/>
    </w:pPr>
    <w:rPr>
      <w:rFonts w:cs="Lohit Devanagari"/>
    </w:rPr>
  </w:style>
  <w:style w:type="paragraph" w:styleId="844" w:customStyle="1">
    <w:name w:val="Колонтитул"/>
    <w:basedOn w:val="829"/>
    <w:qFormat/>
  </w:style>
  <w:style w:type="paragraph" w:styleId="845">
    <w:name w:val="Header"/>
    <w:basedOn w:val="829"/>
    <w:link w:val="833"/>
    <w:uiPriority w:val="99"/>
    <w:pPr>
      <w:tabs>
        <w:tab w:val="center" w:pos="4153" w:leader="none"/>
        <w:tab w:val="right" w:pos="8306" w:leader="none"/>
      </w:tabs>
    </w:pPr>
  </w:style>
  <w:style w:type="paragraph" w:styleId="846">
    <w:name w:val="Footer"/>
    <w:basedOn w:val="829"/>
    <w:link w:val="835"/>
    <w:uiPriority w:val="99"/>
    <w:pPr>
      <w:tabs>
        <w:tab w:val="center" w:pos="4153" w:leader="none"/>
        <w:tab w:val="right" w:pos="8306" w:leader="none"/>
      </w:tabs>
    </w:pPr>
  </w:style>
  <w:style w:type="paragraph" w:styleId="847">
    <w:name w:val="annotation text"/>
    <w:basedOn w:val="829"/>
    <w:link w:val="836"/>
    <w:uiPriority w:val="99"/>
    <w:semiHidden/>
    <w:unhideWhenUsed/>
    <w:qFormat/>
  </w:style>
  <w:style w:type="paragraph" w:styleId="848">
    <w:name w:val="annotation subject"/>
    <w:basedOn w:val="847"/>
    <w:next w:val="847"/>
    <w:link w:val="837"/>
    <w:uiPriority w:val="99"/>
    <w:semiHidden/>
    <w:unhideWhenUsed/>
    <w:qFormat/>
    <w:rPr>
      <w:b/>
      <w:bCs/>
    </w:rPr>
  </w:style>
  <w:style w:type="paragraph" w:styleId="849">
    <w:name w:val="Balloon Text"/>
    <w:basedOn w:val="829"/>
    <w:link w:val="838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850">
    <w:name w:val="List Paragraph"/>
    <w:basedOn w:val="829"/>
    <w:uiPriority w:val="34"/>
    <w:qFormat/>
    <w:pPr>
      <w:contextualSpacing/>
      <w:ind w:left="720"/>
    </w:pPr>
  </w:style>
  <w:style w:type="character" w:styleId="851" w:customStyle="1">
    <w:name w:val="docdata"/>
    <w:basedOn w:val="830"/>
  </w:style>
  <w:style w:type="paragraph" w:styleId="852">
    <w:name w:val="No Spacing"/>
    <w:uiPriority w:val="1"/>
    <w:qFormat/>
    <w:rPr>
      <w:rFonts w:ascii="Times New Roman" w:hAnsi="Times New Roman" w:eastAsia="WenQuanYi Micro Hei" w:cs="Lohit Devanagari"/>
      <w:sz w:val="20"/>
      <w:szCs w:val="20"/>
      <w:lang w:eastAsia="zh-CN" w:bidi="hi-I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Р7-Офис/2026.1.3.2139</Application>
  <Company>КонсультантПлюс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dc:description/>
  <dc:language>ru-RU</dc:language>
  <cp:lastModifiedBy>golubeva.valentina</cp:lastModifiedBy>
  <cp:revision>9</cp:revision>
  <dcterms:created xsi:type="dcterms:W3CDTF">2025-07-09T11:49:00Z</dcterms:created>
  <dcterms:modified xsi:type="dcterms:W3CDTF">2026-07-08T07:31:28Z</dcterms:modified>
</cp:coreProperties>
</file>