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bCs/>
          <w:sz w:val="21"/>
          <w:szCs w:val="21"/>
        </w:rPr>
        <w:t xml:space="preserve">Сообщение о существенном 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8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78"/>
                <w:sz w:val="21"/>
                <w:szCs w:val="21"/>
              </w:rPr>
            </w:r>
            <w:r>
              <w:rPr>
                <w:rStyle w:val="978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8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78"/>
                <w:sz w:val="21"/>
                <w:szCs w:val="21"/>
              </w:rPr>
            </w:r>
            <w:r>
              <w:rPr>
                <w:rStyle w:val="978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ogk2.ru" w:history="1">
              <w:r>
                <w:rPr>
                  <w:rStyle w:val="968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68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68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3" w:tooltip="https://www.e-disclosure.ru/portal/company.aspx?id=7234" w:history="1">
              <w:r>
                <w:rPr>
                  <w:rStyle w:val="968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68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68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68"/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18.05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68"/>
                <w:b/>
                <w:color w:val="000000" w:themeColor="text1"/>
                <w:sz w:val="21"/>
                <w:szCs w:val="21"/>
              </w:rPr>
            </w:r>
            <w:r>
              <w:rPr>
                <w:rStyle w:val="968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0"/>
              <w:numPr>
                <w:ilvl w:val="0"/>
                <w:numId w:val="40"/>
              </w:numPr>
              <w:ind w:left="0" w:right="0" w:firstLine="0"/>
              <w:spacing w:before="20" w:after="20"/>
              <w:tabs>
                <w:tab w:val="left" w:pos="283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 рассмотрении вопросов, связанных с подготовкой  к заседанию и принятием решений Общим собранием акционеров.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ind w:left="0" w:right="0" w:firstLine="0"/>
              <w:spacing w:before="20" w:after="20"/>
              <w:tabs>
                <w:tab w:val="left" w:pos="425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</w:t>
            </w:r>
            <w:r>
              <w:rPr>
                <w:sz w:val="21"/>
                <w:szCs w:val="21"/>
              </w:rPr>
              <w:tab/>
              <w:t xml:space="preserve">Об утверждении формы и текста бюллетеней для голосования на Общем собрании акционеров Общества.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Утвердить форму и текст бюллетеня для голосования на Общем собрании акционеров Общества, а также формулировки решений по вопросам повестки </w:t>
            </w:r>
            <w:r>
              <w:rPr>
                <w:sz w:val="21"/>
                <w:szCs w:val="21"/>
              </w:rPr>
              <w:t xml:space="preserve">дня Обще</w:t>
            </w:r>
            <w:r>
              <w:rPr>
                <w:sz w:val="21"/>
                <w:szCs w:val="21"/>
              </w:rPr>
              <w:t xml:space="preserve">го собрания акционеров Общества, которые должны направляться в электронной форме (в форме электронных документов) номинальным держателям акций Общества, зарегистрированным в реестре акционеров Общества, согласно Приложению № 1 к  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69"/>
              <w:jc w:val="both"/>
              <w:spacing w:after="0"/>
              <w:widowControl w:val="off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 xml:space="preserve">2. </w:t>
            </w:r>
            <w:r>
              <w:rPr>
                <w:b w:val="0"/>
                <w:bCs w:val="0"/>
                <w:sz w:val="21"/>
                <w:szCs w:val="21"/>
              </w:rPr>
              <w:t xml:space="preserve">О </w:t>
            </w:r>
            <w:r>
              <w:rPr>
                <w:sz w:val="21"/>
                <w:szCs w:val="21"/>
              </w:rPr>
              <w:t xml:space="preserve">рекомендациях и предложениях Общему собранию акционеров ПАО «ОГК-2» по вопросам повестки дня Общего собрания акционеров </w:t>
            </w:r>
            <w:r>
              <w:rPr>
                <w:sz w:val="21"/>
                <w:szCs w:val="21"/>
              </w:rPr>
              <w:t xml:space="preserve">Общества</w:t>
            </w:r>
            <w:r>
              <w:rPr>
                <w:sz w:val="21"/>
                <w:szCs w:val="21"/>
              </w:rPr>
              <w:t xml:space="preserve">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spacing w:before="20" w:after="20"/>
              <w:tabs>
                <w:tab w:val="left" w:pos="425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2.2.</w:t>
            </w:r>
            <w:r>
              <w:rPr>
                <w:sz w:val="21"/>
                <w:szCs w:val="21"/>
              </w:rPr>
              <w:tab/>
              <w:t xml:space="preserve">О рекомендациях Общему собранию акционеров ПАО «ОГК-2» по распределению прибыли и убытков Общества по результатам 2025 года, в том числе о рекомендациях по размеру дивидендов по акциям Общества и порядку их выплаты.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Рекомендовать Общему собранию акционеров Общества принять решение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не выплачивать дивиденды по обыкновенным акциям Общества по результатам 2025 года.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spacing w:before="20" w:after="20"/>
              <w:tabs>
                <w:tab w:val="left" w:pos="284" w:leader="none"/>
              </w:tabs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  <w:highlight w:val="none"/>
              </w:rPr>
              <w:t xml:space="preserve">2.4. </w:t>
            </w:r>
            <w:r>
              <w:rPr>
                <w:sz w:val="21"/>
                <w:szCs w:val="21"/>
              </w:rPr>
              <w:t xml:space="preserve">О предварительном рассмотрении внутренних документов, регулирующих деятельность органов Общества, утверждение которых отнесено к компетенции Общего собрания акционеров.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Предложить Общему собранию акционеров Общества утвердить Положение об Общем собрании акционеров ПАО «ОГК-2» в новой редакции, в соответствии с Приложением № 2.3 к 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highlight w:val="none"/>
              </w:rPr>
              <w:t xml:space="preserve">3. </w:t>
            </w:r>
            <w:r>
              <w:rPr>
                <w:b w:val="0"/>
                <w:bCs w:val="0"/>
                <w:sz w:val="21"/>
                <w:szCs w:val="21"/>
              </w:rPr>
              <w:t xml:space="preserve">Об утверждении отчета о заключенных Обществом в 2025 году сделках, в совершении которых имелась заинтересованность.</w:t>
            </w:r>
            <w:r>
              <w:rPr>
                <w:b w:val="0"/>
                <w:bCs w:val="0"/>
                <w:sz w:val="21"/>
                <w:szCs w:val="21"/>
              </w:rPr>
            </w:r>
            <w:r>
              <w:rPr>
                <w:b w:val="0"/>
                <w:bCs w:val="0"/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</w:rPr>
              <w:t xml:space="preserve">Утвердить отчет о заключенных ПАО «ОГК-2» в 2025 году сделках, в совершении которых имелась заинтересованность, в соответствии с Приложением № </w:t>
            </w:r>
            <w:r>
              <w:rPr>
                <w:sz w:val="21"/>
                <w:szCs w:val="21"/>
              </w:rPr>
              <w:t xml:space="preserve">3</w:t>
            </w:r>
            <w:r>
              <w:rPr>
                <w:sz w:val="21"/>
                <w:szCs w:val="21"/>
              </w:rPr>
              <w:t xml:space="preserve"> к решению Совета директоров.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spacing w:before="20" w:after="20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Вопрос: 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  <w:highlight w:val="none"/>
              </w:rPr>
              <w:t xml:space="preserve">4. </w:t>
            </w:r>
            <w:r>
              <w:rPr>
                <w:sz w:val="21"/>
                <w:szCs w:val="21"/>
              </w:rPr>
              <w:t xml:space="preserve">О предварительном утверждении годового отчета Общества за 2025 год.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77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0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</w:t>
            </w:r>
            <w:r>
              <w:rPr>
                <w:sz w:val="21"/>
                <w:szCs w:val="21"/>
              </w:rPr>
              <w:tab/>
              <w:t xml:space="preserve">Утвердить заявление Совета директоров ПАО «ОГК-2» о соблюдении принципов корпоративного управления, закрепленных Кодексом корпоративного управления, рекомендованного Банком России письмом от 10.04.2014 </w:t>
            </w:r>
            <w:r>
              <w:rPr>
                <w:sz w:val="21"/>
                <w:szCs w:val="21"/>
              </w:rPr>
              <w:t xml:space="preserve">№ </w:t>
            </w:r>
            <w:r>
              <w:rPr>
                <w:sz w:val="21"/>
                <w:szCs w:val="21"/>
              </w:rPr>
              <w:t xml:space="preserve">06-52/2463 к применению акционерными обществами, ценные бумаги которых допущены к организованным торгам, в соответствии с пунктом 4.2. годового отчета ПАО «ОГК-2» за 2025 год.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</w:t>
            </w:r>
            <w:r>
              <w:rPr>
                <w:sz w:val="21"/>
                <w:szCs w:val="21"/>
              </w:rPr>
              <w:tab/>
              <w:t xml:space="preserve">Предварительно утвердить годовой отчет ПАО «ОГК-2» за 2025 год в соответствии с Приложением №</w:t>
            </w:r>
            <w:r>
              <w:rPr>
                <w:sz w:val="21"/>
                <w:szCs w:val="21"/>
              </w:rPr>
              <w:t xml:space="preserve"> 4</w:t>
            </w:r>
            <w:r>
              <w:rPr>
                <w:sz w:val="21"/>
                <w:szCs w:val="21"/>
              </w:rPr>
              <w:t xml:space="preserve"> к 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0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</w:t>
            </w:r>
            <w:r>
              <w:rPr>
                <w:sz w:val="21"/>
                <w:szCs w:val="21"/>
              </w:rPr>
              <w:tab/>
              <w:t xml:space="preserve"> </w:t>
            </w:r>
            <w:r>
              <w:rPr>
                <w:sz w:val="21"/>
                <w:szCs w:val="21"/>
              </w:rPr>
              <w:t xml:space="preserve">Рекомендовать Общему собранию акционеров Общества утвердить годовой отчет ПАО «ОГК-2» за 2025 год в соответствии с Приложением №</w:t>
            </w:r>
            <w:r>
              <w:rPr>
                <w:sz w:val="21"/>
                <w:szCs w:val="21"/>
              </w:rPr>
              <w:t xml:space="preserve"> 4</w:t>
            </w:r>
            <w:r>
              <w:rPr>
                <w:sz w:val="21"/>
                <w:szCs w:val="21"/>
              </w:rPr>
              <w:t xml:space="preserve"> к 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2.3. </w:t>
            </w:r>
            <w:r>
              <w:rPr>
                <w:sz w:val="21"/>
                <w:szCs w:val="21"/>
              </w:rPr>
              <w:t xml:space="preserve">Идентификационны</w:t>
            </w:r>
            <w:r>
              <w:rPr>
                <w:color w:val="000000" w:themeColor="text1"/>
                <w:sz w:val="21"/>
                <w:szCs w:val="21"/>
              </w:rPr>
              <w:t xml:space="preserve">е признаки ценных бумаг: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акции обыкновенные, государственный регистрационный </w:t>
            </w:r>
            <w:r>
              <w:rPr>
                <w:b/>
                <w:color w:val="000000" w:themeColor="text1"/>
                <w:sz w:val="21"/>
                <w:szCs w:val="21"/>
              </w:rPr>
              <w:br/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</w:t>
            </w:r>
            <w:r>
              <w:rPr>
                <w:color w:val="000000" w:themeColor="text1"/>
                <w:sz w:val="21"/>
                <w:szCs w:val="21"/>
              </w:rPr>
              <w:t xml:space="preserve">4</w:t>
            </w:r>
            <w:r>
              <w:rPr>
                <w:color w:val="000000" w:themeColor="text1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18.05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</w:t>
            </w:r>
            <w:r>
              <w:rPr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color w:val="000000" w:themeColor="text1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Протокол от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18.05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 </w:t>
            </w:r>
            <w:r>
              <w:rPr>
                <w:b/>
                <w:color w:val="auto"/>
                <w:sz w:val="21"/>
                <w:szCs w:val="21"/>
              </w:rPr>
              <w:t xml:space="preserve">№ </w:t>
            </w:r>
            <w:r>
              <w:rPr>
                <w:b/>
                <w:color w:val="auto"/>
                <w:sz w:val="21"/>
                <w:szCs w:val="21"/>
              </w:rPr>
              <w:t xml:space="preserve">379</w:t>
            </w:r>
            <w:r>
              <w:rPr>
                <w:b/>
                <w:color w:val="auto"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7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3.1. </w:t>
            </w:r>
            <w:r>
              <w:rPr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78/362-н/78-2025-3-1278 </w:t>
            </w:r>
            <w:r>
              <w:rPr>
                <w:b/>
                <w:color w:val="000000"/>
                <w:sz w:val="21"/>
                <w:szCs w:val="21"/>
              </w:rPr>
            </w:r>
            <w:r>
              <w:rPr>
                <w:b/>
                <w:color w:val="000000"/>
                <w:sz w:val="21"/>
                <w:szCs w:val="21"/>
              </w:rPr>
            </w:r>
          </w:p>
          <w:p>
            <w:pPr>
              <w:pStyle w:val="977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от 10</w:t>
            </w:r>
            <w:r>
              <w:rPr>
                <w:b/>
                <w:bCs/>
                <w:sz w:val="21"/>
                <w:szCs w:val="21"/>
              </w:rPr>
              <w:t xml:space="preserve">.12.2025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(подпись)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3.2. Дата   </w:t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“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19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”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мая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</w:t>
            </w:r>
            <w:r>
              <w:rPr>
                <w:color w:val="000000" w:themeColor="text1"/>
                <w:sz w:val="21"/>
                <w:szCs w:val="21"/>
              </w:rPr>
              <w:t xml:space="preserve">6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1"/>
          <w:szCs w:val="21"/>
        </w:rPr>
      </w:r>
      <w:r>
        <w:rPr>
          <w:color w:val="000000" w:themeColor="text1"/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rPr>
        <w:rStyle w:val="967"/>
      </w:rPr>
      <w:framePr w:wrap="around" w:vAnchor="text" w:hAnchor="margin" w:xAlign="center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separate"/>
    </w:r>
    <w:r>
      <w:rPr>
        <w:rStyle w:val="967"/>
      </w:rPr>
      <w:t xml:space="preserve">3</w:t>
    </w:r>
    <w:r>
      <w:rPr>
        <w:rStyle w:val="967"/>
      </w:rPr>
      <w:fldChar w:fldCharType="end"/>
    </w:r>
    <w:r>
      <w:rPr>
        <w:rStyle w:val="967"/>
      </w:rPr>
    </w:r>
    <w:r>
      <w:rPr>
        <w:rStyle w:val="967"/>
      </w:rPr>
    </w:r>
  </w:p>
  <w:p>
    <w:pPr>
      <w:pStyle w:val="9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5">
    <w:name w:val="Heading 1"/>
    <w:basedOn w:val="774"/>
    <w:next w:val="774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6">
    <w:name w:val="Heading 2"/>
    <w:basedOn w:val="774"/>
    <w:next w:val="774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7">
    <w:name w:val="Heading 3"/>
    <w:basedOn w:val="774"/>
    <w:next w:val="774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8">
    <w:name w:val="Heading 4"/>
    <w:basedOn w:val="774"/>
    <w:next w:val="774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774"/>
    <w:next w:val="774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774"/>
    <w:next w:val="774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774"/>
    <w:next w:val="774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774"/>
    <w:next w:val="774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Heading 1 Char"/>
    <w:basedOn w:val="784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Heading 2 Char"/>
    <w:basedOn w:val="784"/>
    <w:uiPriority w:val="9"/>
    <w:rPr>
      <w:rFonts w:ascii="Arial" w:hAnsi="Arial" w:eastAsia="Arial" w:cs="Arial"/>
      <w:sz w:val="34"/>
    </w:rPr>
  </w:style>
  <w:style w:type="character" w:styleId="789" w:customStyle="1">
    <w:name w:val="Heading 3 Char"/>
    <w:basedOn w:val="784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Heading 4 Char"/>
    <w:basedOn w:val="784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Heading 5 Char"/>
    <w:basedOn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6 Char"/>
    <w:basedOn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7 Char"/>
    <w:basedOn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Heading 8 Char"/>
    <w:basedOn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Heading 9 Char"/>
    <w:basedOn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Title Char"/>
    <w:basedOn w:val="784"/>
    <w:uiPriority w:val="10"/>
    <w:rPr>
      <w:sz w:val="48"/>
      <w:szCs w:val="48"/>
    </w:rPr>
  </w:style>
  <w:style w:type="character" w:styleId="797" w:customStyle="1">
    <w:name w:val="Subtitle Char"/>
    <w:basedOn w:val="784"/>
    <w:uiPriority w:val="11"/>
    <w:rPr>
      <w:sz w:val="24"/>
      <w:szCs w:val="24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Footnote Text Char"/>
    <w:uiPriority w:val="99"/>
    <w:rPr>
      <w:sz w:val="18"/>
    </w:rPr>
  </w:style>
  <w:style w:type="character" w:styleId="801" w:customStyle="1">
    <w:name w:val="Endnote Text Char"/>
    <w:uiPriority w:val="99"/>
    <w:rPr>
      <w:sz w:val="20"/>
    </w:rPr>
  </w:style>
  <w:style w:type="character" w:styleId="802" w:customStyle="1">
    <w:name w:val="Заголовок 1 Знак"/>
    <w:basedOn w:val="784"/>
    <w:link w:val="775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84"/>
    <w:link w:val="776"/>
    <w:uiPriority w:val="9"/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84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74"/>
    <w:next w:val="774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 w:customStyle="1">
    <w:name w:val="Название Знак"/>
    <w:basedOn w:val="784"/>
    <w:link w:val="811"/>
    <w:uiPriority w:val="10"/>
    <w:rPr>
      <w:sz w:val="48"/>
      <w:szCs w:val="48"/>
    </w:rPr>
  </w:style>
  <w:style w:type="paragraph" w:styleId="813">
    <w:name w:val="Subtitle"/>
    <w:basedOn w:val="774"/>
    <w:next w:val="774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basedOn w:val="784"/>
    <w:link w:val="813"/>
    <w:uiPriority w:val="11"/>
    <w:rPr>
      <w:sz w:val="24"/>
      <w:szCs w:val="24"/>
    </w:rPr>
  </w:style>
  <w:style w:type="paragraph" w:styleId="815">
    <w:name w:val="Quote"/>
    <w:basedOn w:val="774"/>
    <w:next w:val="774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74"/>
    <w:next w:val="774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character" w:styleId="819" w:customStyle="1">
    <w:name w:val="Header Char"/>
    <w:basedOn w:val="784"/>
    <w:uiPriority w:val="99"/>
  </w:style>
  <w:style w:type="character" w:styleId="820" w:customStyle="1">
    <w:name w:val="Footer Char"/>
    <w:basedOn w:val="784"/>
    <w:uiPriority w:val="99"/>
  </w:style>
  <w:style w:type="paragraph" w:styleId="821">
    <w:name w:val="Caption"/>
    <w:basedOn w:val="774"/>
    <w:next w:val="774"/>
    <w:link w:val="82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2" w:customStyle="1">
    <w:name w:val="Caption Char"/>
    <w:uiPriority w:val="99"/>
  </w:style>
  <w:style w:type="table" w:styleId="823" w:customStyle="1">
    <w:name w:val="Table Grid Light"/>
    <w:basedOn w:val="7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4">
    <w:name w:val="Plain Table 1"/>
    <w:basedOn w:val="7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7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2" w:customStyle="1">
    <w:name w:val="Grid Table 4 - Accent 2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3" w:customStyle="1">
    <w:name w:val="Grid Table 4 - Accent 3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4" w:customStyle="1">
    <w:name w:val="Grid Table 4 - Accent 4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5" w:customStyle="1">
    <w:name w:val="Grid Table 4 - Accent 5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6" w:customStyle="1">
    <w:name w:val="Grid Table 4 - Accent 6"/>
    <w:basedOn w:val="7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7">
    <w:name w:val="Grid Table 5 Dark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4">
    <w:name w:val="Grid Table 6 Colorful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5" w:customStyle="1">
    <w:name w:val="Grid Table 6 Colorful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6" w:customStyle="1">
    <w:name w:val="Grid Table 6 Colorful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7" w:customStyle="1">
    <w:name w:val="Grid Table 6 Colorful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8" w:customStyle="1">
    <w:name w:val="Grid Table 6 Colorful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9" w:customStyle="1">
    <w:name w:val="Grid Table 6 Colorful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0" w:customStyle="1">
    <w:name w:val="Grid Table 6 Colorful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1">
    <w:name w:val="Grid Table 7 Colorful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7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>
    <w:name w:val="List Table 6 Colorful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4" w:customStyle="1">
    <w:name w:val="List Table 6 Colorful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5" w:customStyle="1">
    <w:name w:val="List Table 6 Colorful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6" w:customStyle="1">
    <w:name w:val="List Table 6 Colorful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7" w:customStyle="1">
    <w:name w:val="List Table 6 Colorful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8" w:customStyle="1">
    <w:name w:val="List Table 6 Colorful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9" w:customStyle="1">
    <w:name w:val="List Table 6 Colorful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0">
    <w:name w:val="List Table 7 Colorful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ned - Accent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Lined - Accent 1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9" w:customStyle="1">
    <w:name w:val="Lined - Accent 2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0" w:customStyle="1">
    <w:name w:val="Lined - Accent 3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1" w:customStyle="1">
    <w:name w:val="Lined - Accent 4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2" w:customStyle="1">
    <w:name w:val="Lined - Accent 5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3" w:customStyle="1">
    <w:name w:val="Lined - Accent 6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4" w:customStyle="1">
    <w:name w:val="Bordered &amp; Lined - Accent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Bordered &amp; Lined - Accent 1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6" w:customStyle="1">
    <w:name w:val="Bordered &amp; Lined - Accent 2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7" w:customStyle="1">
    <w:name w:val="Bordered &amp; Lined - Accent 3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8" w:customStyle="1">
    <w:name w:val="Bordered &amp; Lined - Accent 4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9" w:customStyle="1">
    <w:name w:val="Bordered &amp; Lined - Accent 5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0" w:customStyle="1">
    <w:name w:val="Bordered &amp; Lined - Accent 6"/>
    <w:basedOn w:val="7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1" w:customStyle="1">
    <w:name w:val="Bordered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2" w:customStyle="1">
    <w:name w:val="Bordered - Accent 1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3" w:customStyle="1">
    <w:name w:val="Bordered - Accent 2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4" w:customStyle="1">
    <w:name w:val="Bordered - Accent 3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5" w:customStyle="1">
    <w:name w:val="Bordered - Accent 4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6" w:customStyle="1">
    <w:name w:val="Bordered - Accent 5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7" w:customStyle="1">
    <w:name w:val="Bordered - Accent 6"/>
    <w:basedOn w:val="7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8">
    <w:name w:val="footnote text"/>
    <w:basedOn w:val="774"/>
    <w:link w:val="949"/>
    <w:uiPriority w:val="99"/>
    <w:semiHidden/>
    <w:unhideWhenUsed/>
    <w:pPr>
      <w:spacing w:after="40"/>
    </w:pPr>
    <w:rPr>
      <w:sz w:val="18"/>
    </w:rPr>
  </w:style>
  <w:style w:type="character" w:styleId="949" w:customStyle="1">
    <w:name w:val="Текст сноски Знак"/>
    <w:link w:val="948"/>
    <w:uiPriority w:val="99"/>
    <w:rPr>
      <w:sz w:val="18"/>
    </w:rPr>
  </w:style>
  <w:style w:type="character" w:styleId="950">
    <w:name w:val="footnote reference"/>
    <w:basedOn w:val="784"/>
    <w:uiPriority w:val="99"/>
    <w:unhideWhenUsed/>
    <w:rPr>
      <w:vertAlign w:val="superscript"/>
    </w:rPr>
  </w:style>
  <w:style w:type="paragraph" w:styleId="951">
    <w:name w:val="endnote text"/>
    <w:basedOn w:val="774"/>
    <w:link w:val="952"/>
    <w:uiPriority w:val="99"/>
    <w:semiHidden/>
    <w:unhideWhenUsed/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basedOn w:val="784"/>
    <w:uiPriority w:val="99"/>
    <w:semiHidden/>
    <w:unhideWhenUsed/>
    <w:rPr>
      <w:vertAlign w:val="superscript"/>
    </w:rPr>
  </w:style>
  <w:style w:type="paragraph" w:styleId="954">
    <w:name w:val="toc 1"/>
    <w:basedOn w:val="774"/>
    <w:next w:val="774"/>
    <w:uiPriority w:val="39"/>
    <w:unhideWhenUsed/>
    <w:pPr>
      <w:spacing w:after="57"/>
    </w:pPr>
  </w:style>
  <w:style w:type="paragraph" w:styleId="955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56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57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58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59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60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61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62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74"/>
    <w:next w:val="774"/>
    <w:uiPriority w:val="99"/>
    <w:unhideWhenUsed/>
  </w:style>
  <w:style w:type="paragraph" w:styleId="965">
    <w:name w:val="Header"/>
    <w:basedOn w:val="774"/>
    <w:link w:val="966"/>
    <w:pPr>
      <w:tabs>
        <w:tab w:val="center" w:pos="4153" w:leader="none"/>
        <w:tab w:val="right" w:pos="8306" w:leader="none"/>
      </w:tabs>
    </w:pPr>
  </w:style>
  <w:style w:type="character" w:styleId="966" w:customStyle="1">
    <w:name w:val="Верхний колонтитул Знак"/>
    <w:basedOn w:val="784"/>
    <w:link w:val="96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7">
    <w:name w:val="page number"/>
    <w:basedOn w:val="784"/>
  </w:style>
  <w:style w:type="character" w:styleId="968">
    <w:name w:val="Hyperlink"/>
    <w:rPr>
      <w:color w:val="0000ff"/>
      <w:u w:val="single"/>
    </w:rPr>
  </w:style>
  <w:style w:type="paragraph" w:styleId="969">
    <w:name w:val="Body Text"/>
    <w:basedOn w:val="774"/>
    <w:link w:val="970"/>
    <w:pPr>
      <w:spacing w:after="120"/>
    </w:pPr>
  </w:style>
  <w:style w:type="character" w:styleId="970" w:customStyle="1">
    <w:name w:val="Основной текст Знак"/>
    <w:basedOn w:val="784"/>
    <w:link w:val="9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1">
    <w:name w:val="Footer"/>
    <w:basedOn w:val="774"/>
    <w:link w:val="972"/>
    <w:uiPriority w:val="99"/>
    <w:pPr>
      <w:tabs>
        <w:tab w:val="center" w:pos="4677" w:leader="none"/>
        <w:tab w:val="right" w:pos="9355" w:leader="none"/>
      </w:tabs>
    </w:pPr>
  </w:style>
  <w:style w:type="character" w:styleId="972" w:customStyle="1">
    <w:name w:val="Нижний колонтитул Знак"/>
    <w:basedOn w:val="784"/>
    <w:link w:val="97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3">
    <w:name w:val="Balloon Text"/>
    <w:basedOn w:val="774"/>
    <w:link w:val="9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4" w:customStyle="1">
    <w:name w:val="Текст выноски Знак"/>
    <w:basedOn w:val="784"/>
    <w:link w:val="97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5">
    <w:name w:val="List Paragraph"/>
    <w:basedOn w:val="774"/>
    <w:link w:val="97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6" w:customStyle="1">
    <w:name w:val="Абзац списка Знак"/>
    <w:link w:val="975"/>
    <w:uiPriority w:val="34"/>
    <w:rPr>
      <w:rFonts w:ascii="Calibri" w:hAnsi="Calibri" w:eastAsia="Calibri" w:cs="Times New Roman"/>
    </w:rPr>
  </w:style>
  <w:style w:type="paragraph" w:styleId="97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8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79">
    <w:name w:val="Table Grid"/>
    <w:basedOn w:val="7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0" w:customStyle="1">
    <w:name w:val="Абзац 3"/>
    <w:basedOn w:val="774"/>
    <w:hidden/>
    <w:pPr>
      <w:jc w:val="both"/>
    </w:pPr>
    <w:rPr>
      <w:rFonts w:eastAsiaTheme="minorEastAsia" w:cstheme="minorBidi"/>
      <w:sz w:val="24"/>
      <w:szCs w:val="22"/>
    </w:rPr>
  </w:style>
  <w:style w:type="character" w:styleId="981">
    <w:name w:val="Subtle Emphasis"/>
    <w:basedOn w:val="784"/>
    <w:uiPriority w:val="19"/>
    <w:qFormat/>
    <w:rPr>
      <w:i/>
      <w:iCs/>
      <w:color w:val="404040" w:themeColor="text1" w:themeTint="BF"/>
    </w:rPr>
  </w:style>
  <w:style w:type="character" w:styleId="982">
    <w:name w:val="Strong"/>
    <w:basedOn w:val="784"/>
    <w:uiPriority w:val="22"/>
    <w:qFormat/>
    <w:rPr>
      <w:b/>
      <w:bCs/>
    </w:rPr>
  </w:style>
  <w:style w:type="character" w:styleId="983" w:customStyle="1">
    <w:name w:val="Subst"/>
    <w:uiPriority w:val="99"/>
    <w:rPr>
      <w:b/>
      <w:i/>
    </w:rPr>
  </w:style>
  <w:style w:type="paragraph" w:styleId="984" w:customStyle="1">
    <w:name w:val="Абзац 4"/>
    <w:basedOn w:val="774"/>
    <w:pPr>
      <w:jc w:val="both"/>
    </w:pPr>
    <w:rPr>
      <w:rFonts w:eastAsiaTheme="minorEastAsia" w:cstheme="minorBidi"/>
      <w:sz w:val="24"/>
      <w:szCs w:val="22"/>
    </w:rPr>
  </w:style>
  <w:style w:type="paragraph" w:styleId="985" w:customStyle="1">
    <w:name w:val="Абзац 2"/>
    <w:basedOn w:val="774"/>
    <w:pPr>
      <w:jc w:val="both"/>
    </w:pPr>
    <w:rPr>
      <w:rFonts w:eastAsiaTheme="minorEastAsia" w:cstheme="minorBidi"/>
      <w:b/>
      <w:sz w:val="24"/>
      <w:szCs w:val="22"/>
    </w:rPr>
  </w:style>
  <w:style w:type="paragraph" w:styleId="986" w:customStyle="1">
    <w:name w:val="docdata"/>
    <w:basedOn w:val="774"/>
    <w:pPr>
      <w:spacing w:before="100" w:beforeAutospacing="1" w:after="100" w:afterAutospacing="1"/>
    </w:pPr>
    <w:rPr>
      <w:sz w:val="24"/>
      <w:szCs w:val="24"/>
    </w:rPr>
  </w:style>
  <w:style w:type="paragraph" w:styleId="987">
    <w:name w:val="Normal (Web)"/>
    <w:basedOn w:val="77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88">
    <w:name w:val="Body Text Indent 2"/>
    <w:basedOn w:val="774"/>
    <w:link w:val="989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89" w:customStyle="1">
    <w:name w:val="Основной текст с отступом 2 Знак"/>
    <w:basedOn w:val="784"/>
    <w:link w:val="988"/>
    <w:uiPriority w:val="99"/>
    <w:rPr>
      <w:rFonts w:ascii="Calibri" w:hAnsi="Calibri" w:eastAsia="Calibri" w:cs="Times New Roman"/>
    </w:rPr>
  </w:style>
  <w:style w:type="table" w:styleId="990" w:customStyle="1">
    <w:name w:val="Таблица 1"/>
    <w: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40" w:type="dxa"/>
        <w:top w:w="20" w:type="dxa"/>
        <w:right w:w="40" w:type="dxa"/>
        <w:bottom w:w="20" w:type="dxa"/>
      </w:tblCellMar>
    </w:tblPr>
    <w:trPr>
      <w:cantSplit w:val="false"/>
      <w:jc w:val="left"/>
    </w:trPr>
    <w:tcPr>
      <w:shd w:val="clear" w:color="auto" w:fill="auto"/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12</cp:revision>
  <dcterms:created xsi:type="dcterms:W3CDTF">2025-05-21T12:55:00Z</dcterms:created>
  <dcterms:modified xsi:type="dcterms:W3CDTF">2026-05-19T07:45:26Z</dcterms:modified>
</cp:coreProperties>
</file>