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63" w:rsidRDefault="0067023E" w:rsidP="001B5F97">
      <w:pPr>
        <w:jc w:val="center"/>
        <w:outlineLvl w:val="0"/>
        <w:rPr>
          <w:b/>
          <w:bCs/>
          <w:sz w:val="22"/>
          <w:szCs w:val="22"/>
        </w:rPr>
      </w:pPr>
      <w:r>
        <w:rPr>
          <w:b/>
          <w:bCs/>
          <w:sz w:val="22"/>
          <w:szCs w:val="22"/>
        </w:rPr>
        <w:t>Сообщение о существенном факте</w:t>
      </w:r>
    </w:p>
    <w:p w:rsidR="001B5F97" w:rsidRPr="001B5F97" w:rsidRDefault="001B5F97" w:rsidP="001B5F97">
      <w:pPr>
        <w:jc w:val="center"/>
        <w:rPr>
          <w:b/>
          <w:bCs/>
          <w:sz w:val="22"/>
          <w:szCs w:val="22"/>
        </w:rPr>
      </w:pPr>
      <w:r w:rsidRPr="001B5F97">
        <w:rPr>
          <w:b/>
          <w:bCs/>
          <w:sz w:val="22"/>
          <w:szCs w:val="22"/>
        </w:rPr>
        <w:t>о присвоении рейтинга ценн</w:t>
      </w:r>
      <w:r>
        <w:rPr>
          <w:b/>
          <w:bCs/>
          <w:sz w:val="22"/>
          <w:szCs w:val="22"/>
        </w:rPr>
        <w:t xml:space="preserve">ым бумагам и (или) их эмитенту </w:t>
      </w:r>
      <w:r w:rsidRPr="001B5F97">
        <w:rPr>
          <w:b/>
          <w:bCs/>
          <w:sz w:val="22"/>
          <w:szCs w:val="22"/>
        </w:rPr>
        <w:t>кредитным рейтинговым агентством на основании заключенного с эмитентом договора</w:t>
      </w:r>
    </w:p>
    <w:p w:rsidR="00483C63" w:rsidRDefault="00483C63">
      <w:pPr>
        <w:ind w:firstLine="540"/>
        <w:jc w:val="center"/>
        <w:outlineLvl w:val="0"/>
        <w:rPr>
          <w:b/>
          <w:bCs/>
          <w:sz w:val="24"/>
          <w:szCs w:val="24"/>
        </w:rPr>
      </w:pPr>
    </w:p>
    <w:tbl>
      <w:tblPr>
        <w:tblW w:w="10235" w:type="dxa"/>
        <w:tblInd w:w="-426" w:type="dxa"/>
        <w:tblLayout w:type="fixed"/>
        <w:tblCellMar>
          <w:left w:w="28" w:type="dxa"/>
          <w:right w:w="28" w:type="dxa"/>
        </w:tblCellMar>
        <w:tblLook w:val="04A0" w:firstRow="1" w:lastRow="0" w:firstColumn="1" w:lastColumn="0" w:noHBand="0" w:noVBand="1"/>
      </w:tblPr>
      <w:tblGrid>
        <w:gridCol w:w="4848"/>
        <w:gridCol w:w="5387"/>
      </w:tblGrid>
      <w:tr w:rsidR="00483C63">
        <w:tc>
          <w:tcPr>
            <w:tcW w:w="10235" w:type="dxa"/>
            <w:gridSpan w:val="2"/>
            <w:tcBorders>
              <w:top w:val="single" w:sz="4" w:space="0" w:color="000000"/>
              <w:left w:val="single" w:sz="4" w:space="0" w:color="000000"/>
              <w:bottom w:val="single" w:sz="4" w:space="0" w:color="000000"/>
              <w:right w:val="single" w:sz="4" w:space="0" w:color="000000"/>
            </w:tcBorders>
          </w:tcPr>
          <w:p w:rsidR="00483C63" w:rsidRDefault="0067023E">
            <w:pPr>
              <w:jc w:val="center"/>
            </w:pPr>
            <w:r>
              <w:rPr>
                <w:sz w:val="22"/>
                <w:szCs w:val="22"/>
              </w:rPr>
              <w:t>1. Общие сведения</w:t>
            </w:r>
          </w:p>
        </w:tc>
      </w:tr>
      <w:tr w:rsidR="00483C63">
        <w:tc>
          <w:tcPr>
            <w:tcW w:w="4848" w:type="dxa"/>
            <w:tcBorders>
              <w:top w:val="single" w:sz="4" w:space="0" w:color="000000"/>
              <w:left w:val="single" w:sz="4" w:space="0" w:color="000000"/>
              <w:bottom w:val="single" w:sz="4" w:space="0" w:color="000000"/>
              <w:right w:val="single" w:sz="4" w:space="0" w:color="000000"/>
            </w:tcBorders>
          </w:tcPr>
          <w:p w:rsidR="00483C63" w:rsidRDefault="0067023E">
            <w:pPr>
              <w:jc w:val="both"/>
              <w:rPr>
                <w:b/>
                <w:bCs/>
                <w:szCs w:val="22"/>
              </w:rPr>
            </w:pPr>
            <w:r>
              <w:rPr>
                <w:szCs w:val="22"/>
              </w:rPr>
              <w:t>1.1. Полное фирменное наименование (для коммерческой организации) или наименование (для некоммерческой организации) эмитента</w:t>
            </w:r>
          </w:p>
        </w:tc>
        <w:tc>
          <w:tcPr>
            <w:tcW w:w="5387" w:type="dxa"/>
            <w:tcBorders>
              <w:top w:val="single" w:sz="4" w:space="0" w:color="000000"/>
              <w:left w:val="single" w:sz="4" w:space="0" w:color="000000"/>
              <w:bottom w:val="single" w:sz="4" w:space="0" w:color="000000"/>
              <w:right w:val="single" w:sz="4" w:space="0" w:color="000000"/>
            </w:tcBorders>
          </w:tcPr>
          <w:p w:rsidR="00483C63" w:rsidRDefault="0067023E">
            <w:pPr>
              <w:ind w:left="40" w:right="85"/>
              <w:rPr>
                <w:b/>
                <w:bCs/>
              </w:rPr>
            </w:pPr>
            <w:r>
              <w:rPr>
                <w:b/>
                <w:bCs/>
                <w:szCs w:val="22"/>
              </w:rPr>
              <w:t>Публичное акционерное общество «Вторая генерирующая компания оптового рынка электроэнергии»</w:t>
            </w:r>
          </w:p>
        </w:tc>
      </w:tr>
      <w:tr w:rsidR="00483C63">
        <w:tc>
          <w:tcPr>
            <w:tcW w:w="4848" w:type="dxa"/>
            <w:tcBorders>
              <w:top w:val="single" w:sz="4" w:space="0" w:color="000000"/>
              <w:left w:val="single" w:sz="4" w:space="0" w:color="000000"/>
              <w:bottom w:val="single" w:sz="4" w:space="0" w:color="000000"/>
              <w:right w:val="single" w:sz="4" w:space="0" w:color="000000"/>
            </w:tcBorders>
          </w:tcPr>
          <w:p w:rsidR="00483C63" w:rsidRDefault="0067023E">
            <w:pPr>
              <w:jc w:val="both"/>
            </w:pPr>
            <w:r>
              <w:rPr>
                <w:szCs w:val="22"/>
              </w:rPr>
              <w:t>1.2. Адрес эмитента, указанный в едином государственном реестре юридических лиц</w:t>
            </w:r>
          </w:p>
        </w:tc>
        <w:tc>
          <w:tcPr>
            <w:tcW w:w="5387" w:type="dxa"/>
            <w:tcBorders>
              <w:left w:val="single" w:sz="4" w:space="0" w:color="000000"/>
              <w:bottom w:val="single" w:sz="4" w:space="0" w:color="000000"/>
              <w:right w:val="single" w:sz="4" w:space="0" w:color="000000"/>
            </w:tcBorders>
          </w:tcPr>
          <w:p w:rsidR="00483C63" w:rsidRDefault="0067023E">
            <w:pPr>
              <w:ind w:left="40" w:right="85"/>
              <w:rPr>
                <w:b/>
                <w:bCs/>
              </w:rPr>
            </w:pPr>
            <w:r>
              <w:rPr>
                <w:b/>
                <w:bCs/>
                <w:szCs w:val="22"/>
              </w:rPr>
              <w:t xml:space="preserve">196605, г. Санкт-Петербург, вн.тер.г. поселок Шушары, ш Петербургское, д. 66, к. 1, литера А, этаж 7, </w:t>
            </w:r>
            <w:r>
              <w:rPr>
                <w:b/>
                <w:bCs/>
                <w:szCs w:val="22"/>
              </w:rPr>
              <w:br/>
              <w:t>помещ. 36-Н, каб. 701</w:t>
            </w:r>
          </w:p>
        </w:tc>
      </w:tr>
      <w:tr w:rsidR="00483C63">
        <w:tc>
          <w:tcPr>
            <w:tcW w:w="4848" w:type="dxa"/>
            <w:tcBorders>
              <w:top w:val="single" w:sz="4" w:space="0" w:color="000000"/>
              <w:left w:val="single" w:sz="4" w:space="0" w:color="000000"/>
              <w:bottom w:val="single" w:sz="4" w:space="0" w:color="000000"/>
              <w:right w:val="single" w:sz="4" w:space="0" w:color="000000"/>
            </w:tcBorders>
          </w:tcPr>
          <w:p w:rsidR="00483C63" w:rsidRDefault="0067023E">
            <w:pPr>
              <w:jc w:val="both"/>
            </w:pPr>
            <w:r>
              <w:rPr>
                <w:szCs w:val="22"/>
              </w:rPr>
              <w:t>1.3. Основной государственный регистрационный номер (ОГРН) эмитента (при наличии)</w:t>
            </w:r>
          </w:p>
        </w:tc>
        <w:tc>
          <w:tcPr>
            <w:tcW w:w="5387" w:type="dxa"/>
            <w:tcBorders>
              <w:left w:val="single" w:sz="4" w:space="0" w:color="000000"/>
              <w:bottom w:val="single" w:sz="4" w:space="0" w:color="000000"/>
              <w:right w:val="single" w:sz="4" w:space="0" w:color="000000"/>
            </w:tcBorders>
          </w:tcPr>
          <w:p w:rsidR="00483C63" w:rsidRDefault="0067023E">
            <w:pPr>
              <w:ind w:left="40" w:right="85"/>
              <w:rPr>
                <w:b/>
                <w:bCs/>
              </w:rPr>
            </w:pPr>
            <w:r>
              <w:rPr>
                <w:b/>
                <w:bCs/>
                <w:szCs w:val="22"/>
              </w:rPr>
              <w:t>1052600002180</w:t>
            </w:r>
          </w:p>
        </w:tc>
      </w:tr>
      <w:tr w:rsidR="00483C63">
        <w:tc>
          <w:tcPr>
            <w:tcW w:w="4848" w:type="dxa"/>
            <w:tcBorders>
              <w:top w:val="single" w:sz="4" w:space="0" w:color="000000"/>
              <w:left w:val="single" w:sz="4" w:space="0" w:color="000000"/>
              <w:bottom w:val="single" w:sz="4" w:space="0" w:color="000000"/>
              <w:right w:val="single" w:sz="4" w:space="0" w:color="000000"/>
            </w:tcBorders>
          </w:tcPr>
          <w:p w:rsidR="00483C63" w:rsidRDefault="0067023E">
            <w:pPr>
              <w:jc w:val="both"/>
            </w:pPr>
            <w:r>
              <w:rPr>
                <w:szCs w:val="22"/>
              </w:rPr>
              <w:t>1.4. Идентификационный номер налогоплательщика (ИНН) эмитента (при наличии)</w:t>
            </w:r>
          </w:p>
        </w:tc>
        <w:tc>
          <w:tcPr>
            <w:tcW w:w="5387" w:type="dxa"/>
            <w:tcBorders>
              <w:left w:val="single" w:sz="4" w:space="0" w:color="000000"/>
              <w:bottom w:val="single" w:sz="4" w:space="0" w:color="000000"/>
              <w:right w:val="single" w:sz="4" w:space="0" w:color="000000"/>
            </w:tcBorders>
          </w:tcPr>
          <w:p w:rsidR="00483C63" w:rsidRDefault="0067023E">
            <w:pPr>
              <w:ind w:left="40" w:right="85"/>
              <w:rPr>
                <w:b/>
                <w:bCs/>
              </w:rPr>
            </w:pPr>
            <w:r>
              <w:rPr>
                <w:b/>
                <w:bCs/>
                <w:szCs w:val="22"/>
              </w:rPr>
              <w:t>2607018122</w:t>
            </w:r>
          </w:p>
        </w:tc>
      </w:tr>
      <w:tr w:rsidR="00483C63">
        <w:tc>
          <w:tcPr>
            <w:tcW w:w="4848" w:type="dxa"/>
            <w:tcBorders>
              <w:top w:val="single" w:sz="4" w:space="0" w:color="000000"/>
              <w:left w:val="single" w:sz="4" w:space="0" w:color="000000"/>
              <w:bottom w:val="single" w:sz="4" w:space="0" w:color="000000"/>
              <w:right w:val="single" w:sz="4" w:space="0" w:color="000000"/>
            </w:tcBorders>
          </w:tcPr>
          <w:p w:rsidR="00483C63" w:rsidRDefault="0067023E">
            <w:pPr>
              <w:jc w:val="both"/>
            </w:pPr>
            <w:r>
              <w:rPr>
                <w:szCs w:val="22"/>
              </w:rPr>
              <w:t>1.5. Уникальный код эмитента, присвоенный Банком России</w:t>
            </w:r>
          </w:p>
        </w:tc>
        <w:tc>
          <w:tcPr>
            <w:tcW w:w="5387" w:type="dxa"/>
            <w:tcBorders>
              <w:left w:val="single" w:sz="4" w:space="0" w:color="000000"/>
              <w:bottom w:val="single" w:sz="4" w:space="0" w:color="000000"/>
              <w:right w:val="single" w:sz="4" w:space="0" w:color="000000"/>
            </w:tcBorders>
          </w:tcPr>
          <w:p w:rsidR="00483C63" w:rsidRDefault="0067023E">
            <w:pPr>
              <w:ind w:left="40" w:right="85"/>
              <w:rPr>
                <w:b/>
                <w:bCs/>
              </w:rPr>
            </w:pPr>
            <w:r>
              <w:rPr>
                <w:b/>
                <w:bCs/>
                <w:szCs w:val="22"/>
              </w:rPr>
              <w:t>65105-D</w:t>
            </w:r>
          </w:p>
        </w:tc>
      </w:tr>
      <w:tr w:rsidR="00483C63">
        <w:tc>
          <w:tcPr>
            <w:tcW w:w="4848" w:type="dxa"/>
            <w:tcBorders>
              <w:top w:val="single" w:sz="4" w:space="0" w:color="000000"/>
              <w:left w:val="single" w:sz="4" w:space="0" w:color="000000"/>
              <w:bottom w:val="single" w:sz="4" w:space="0" w:color="000000"/>
              <w:right w:val="single" w:sz="4" w:space="0" w:color="000000"/>
            </w:tcBorders>
          </w:tcPr>
          <w:p w:rsidR="00483C63" w:rsidRDefault="0067023E">
            <w:r>
              <w:rPr>
                <w:szCs w:val="22"/>
              </w:rPr>
              <w:t>1.6. Адрес страницы в сети Интернет, используемой эмитентом для раскрытия информации</w:t>
            </w:r>
          </w:p>
        </w:tc>
        <w:tc>
          <w:tcPr>
            <w:tcW w:w="5387" w:type="dxa"/>
            <w:tcBorders>
              <w:left w:val="single" w:sz="4" w:space="0" w:color="000000"/>
              <w:bottom w:val="single" w:sz="4" w:space="0" w:color="000000"/>
              <w:right w:val="single" w:sz="4" w:space="0" w:color="000000"/>
            </w:tcBorders>
          </w:tcPr>
          <w:p w:rsidR="00483C63" w:rsidRDefault="001C111E">
            <w:pPr>
              <w:ind w:right="57"/>
              <w:rPr>
                <w:b/>
                <w:bCs/>
              </w:rPr>
            </w:pPr>
            <w:hyperlink r:id="rId7" w:tooltip="https://www.ogk2.ru/" w:history="1">
              <w:r w:rsidR="0067023E">
                <w:rPr>
                  <w:rStyle w:val="a8"/>
                  <w:b/>
                  <w:bCs/>
                  <w:color w:val="auto"/>
                  <w:szCs w:val="22"/>
                </w:rPr>
                <w:t>https://www.ogk2.ru</w:t>
              </w:r>
            </w:hyperlink>
          </w:p>
          <w:p w:rsidR="00483C63" w:rsidRDefault="001C111E">
            <w:pPr>
              <w:ind w:right="85"/>
              <w:rPr>
                <w:b/>
                <w:bCs/>
              </w:rPr>
            </w:pPr>
            <w:hyperlink r:id="rId8" w:tooltip="https://www.e-disclosure.ru/portal/company.aspx?id=7234" w:history="1">
              <w:r w:rsidR="0067023E">
                <w:rPr>
                  <w:rStyle w:val="a8"/>
                  <w:b/>
                  <w:bCs/>
                  <w:color w:val="auto"/>
                  <w:szCs w:val="22"/>
                </w:rPr>
                <w:t>https://www.e-disclosure.ru/portal/company.aspx?id=7234</w:t>
              </w:r>
            </w:hyperlink>
          </w:p>
        </w:tc>
      </w:tr>
      <w:tr w:rsidR="00483C63">
        <w:tc>
          <w:tcPr>
            <w:tcW w:w="4848" w:type="dxa"/>
            <w:tcBorders>
              <w:top w:val="single" w:sz="4" w:space="0" w:color="000000"/>
              <w:left w:val="single" w:sz="4" w:space="0" w:color="000000"/>
              <w:bottom w:val="single" w:sz="4" w:space="0" w:color="000000"/>
              <w:right w:val="single" w:sz="4" w:space="0" w:color="000000"/>
            </w:tcBorders>
          </w:tcPr>
          <w:p w:rsidR="00483C63" w:rsidRDefault="0067023E">
            <w:pPr>
              <w:jc w:val="both"/>
            </w:pPr>
            <w:r>
              <w:rPr>
                <w:szCs w:val="22"/>
              </w:rPr>
              <w:t>1.7. Дата наступления события (существенного факта), о котором составлено сообщение</w:t>
            </w:r>
          </w:p>
        </w:tc>
        <w:tc>
          <w:tcPr>
            <w:tcW w:w="5387" w:type="dxa"/>
            <w:tcBorders>
              <w:left w:val="single" w:sz="4" w:space="0" w:color="000000"/>
              <w:bottom w:val="single" w:sz="4" w:space="0" w:color="000000"/>
              <w:right w:val="single" w:sz="4" w:space="0" w:color="000000"/>
            </w:tcBorders>
          </w:tcPr>
          <w:p w:rsidR="00483C63" w:rsidRDefault="00A856C7" w:rsidP="0059776A">
            <w:pPr>
              <w:ind w:right="85"/>
              <w:rPr>
                <w:b/>
                <w:bCs/>
              </w:rPr>
            </w:pPr>
            <w:r>
              <w:rPr>
                <w:b/>
                <w:bCs/>
                <w:szCs w:val="22"/>
              </w:rPr>
              <w:t>2</w:t>
            </w:r>
            <w:r w:rsidR="0059776A">
              <w:rPr>
                <w:b/>
                <w:bCs/>
                <w:szCs w:val="22"/>
              </w:rPr>
              <w:t>5</w:t>
            </w:r>
            <w:r>
              <w:rPr>
                <w:b/>
                <w:bCs/>
                <w:szCs w:val="22"/>
              </w:rPr>
              <w:t>.02.2025</w:t>
            </w:r>
          </w:p>
        </w:tc>
      </w:tr>
    </w:tbl>
    <w:p w:rsidR="00483C63" w:rsidRDefault="00483C63"/>
    <w:tbl>
      <w:tblPr>
        <w:tblW w:w="10196" w:type="dxa"/>
        <w:tblInd w:w="-387" w:type="dxa"/>
        <w:tblLayout w:type="fixed"/>
        <w:tblCellMar>
          <w:left w:w="28" w:type="dxa"/>
          <w:right w:w="28" w:type="dxa"/>
        </w:tblCellMar>
        <w:tblLook w:val="04A0" w:firstRow="1" w:lastRow="0" w:firstColumn="1" w:lastColumn="0" w:noHBand="0" w:noVBand="1"/>
      </w:tblPr>
      <w:tblGrid>
        <w:gridCol w:w="10196"/>
      </w:tblGrid>
      <w:tr w:rsidR="00483C63">
        <w:tc>
          <w:tcPr>
            <w:tcW w:w="10196" w:type="dxa"/>
            <w:tcBorders>
              <w:top w:val="single" w:sz="4" w:space="0" w:color="000000"/>
              <w:left w:val="single" w:sz="4" w:space="0" w:color="000000"/>
              <w:bottom w:val="single" w:sz="4" w:space="0" w:color="000000"/>
              <w:right w:val="single" w:sz="4" w:space="0" w:color="000000"/>
            </w:tcBorders>
          </w:tcPr>
          <w:p w:rsidR="00483C63" w:rsidRDefault="0067023E">
            <w:pPr>
              <w:jc w:val="center"/>
            </w:pPr>
            <w:r>
              <w:t>2. Содержание сообщения</w:t>
            </w:r>
          </w:p>
        </w:tc>
      </w:tr>
      <w:tr w:rsidR="00483C63" w:rsidRPr="000431CA">
        <w:trPr>
          <w:trHeight w:val="1484"/>
        </w:trPr>
        <w:tc>
          <w:tcPr>
            <w:tcW w:w="10196" w:type="dxa"/>
            <w:tcBorders>
              <w:top w:val="single" w:sz="4" w:space="0" w:color="000000"/>
              <w:left w:val="single" w:sz="4" w:space="0" w:color="000000"/>
              <w:bottom w:val="single" w:sz="4" w:space="0" w:color="000000"/>
              <w:right w:val="single" w:sz="4" w:space="0" w:color="000000"/>
            </w:tcBorders>
          </w:tcPr>
          <w:p w:rsidR="000431CA" w:rsidRPr="000431CA" w:rsidRDefault="000431CA" w:rsidP="000431CA">
            <w:pPr>
              <w:ind w:firstLine="397"/>
              <w:jc w:val="both"/>
              <w:rPr>
                <w:lang w:eastAsia="ru-RU"/>
              </w:rPr>
            </w:pPr>
            <w:r w:rsidRPr="000431CA">
              <w:rPr>
                <w:lang w:eastAsia="ru-RU"/>
              </w:rPr>
              <w:t xml:space="preserve">2.1. </w:t>
            </w:r>
            <w:r w:rsidR="0041216F">
              <w:rPr>
                <w:lang w:eastAsia="ru-RU"/>
              </w:rPr>
              <w:t>О</w:t>
            </w:r>
            <w:r w:rsidRPr="000431CA">
              <w:rPr>
                <w:lang w:eastAsia="ru-RU"/>
              </w:rPr>
              <w:t xml:space="preserve">бъект рейтинга (ценные бумаги и (или) их эмитент): </w:t>
            </w:r>
            <w:r w:rsidRPr="000431CA">
              <w:rPr>
                <w:b/>
                <w:lang w:eastAsia="ru-RU"/>
              </w:rPr>
              <w:t>эмитент.</w:t>
            </w:r>
          </w:p>
          <w:p w:rsidR="000431CA" w:rsidRPr="000431CA" w:rsidRDefault="000431CA" w:rsidP="000431CA">
            <w:pPr>
              <w:ind w:firstLine="397"/>
              <w:jc w:val="both"/>
              <w:rPr>
                <w:lang w:eastAsia="ru-RU"/>
              </w:rPr>
            </w:pPr>
            <w:r w:rsidRPr="000431CA">
              <w:rPr>
                <w:lang w:eastAsia="ru-RU"/>
              </w:rPr>
              <w:t xml:space="preserve">2.2. </w:t>
            </w:r>
            <w:r w:rsidR="0041216F">
              <w:rPr>
                <w:lang w:eastAsia="ru-RU"/>
              </w:rPr>
              <w:t>В</w:t>
            </w:r>
            <w:r w:rsidRPr="000431CA">
              <w:rPr>
                <w:lang w:eastAsia="ru-RU"/>
              </w:rPr>
              <w:t xml:space="preserve">ид рейтинга, который присвоен объекту рейтинговой оценки (кредитный рейтинг; иной рейтинг): </w:t>
            </w:r>
            <w:r w:rsidRPr="000431CA">
              <w:rPr>
                <w:b/>
                <w:lang w:eastAsia="ru-RU"/>
              </w:rPr>
              <w:t>кредитный рейтинг.</w:t>
            </w:r>
          </w:p>
          <w:p w:rsidR="000431CA" w:rsidRPr="000431CA" w:rsidRDefault="000431CA" w:rsidP="000431CA">
            <w:pPr>
              <w:ind w:firstLine="397"/>
              <w:jc w:val="both"/>
              <w:rPr>
                <w:lang w:eastAsia="ru-RU"/>
              </w:rPr>
            </w:pPr>
            <w:r w:rsidRPr="000431CA">
              <w:rPr>
                <w:lang w:eastAsia="ru-RU"/>
              </w:rPr>
              <w:t xml:space="preserve">2.3. </w:t>
            </w:r>
            <w:r w:rsidR="0041216F">
              <w:rPr>
                <w:lang w:eastAsia="ru-RU"/>
              </w:rPr>
              <w:t>В</w:t>
            </w:r>
            <w:r w:rsidRPr="000431CA">
              <w:rPr>
                <w:lang w:eastAsia="ru-RU"/>
              </w:rPr>
              <w:t xml:space="preserve"> случае если объектом рейтинга являются ценные бумаги эмитента - идентификационные признаки ценных бумаг: </w:t>
            </w:r>
            <w:r w:rsidRPr="000431CA">
              <w:rPr>
                <w:b/>
                <w:lang w:eastAsia="ru-RU"/>
              </w:rPr>
              <w:t>не применимо.</w:t>
            </w:r>
          </w:p>
          <w:p w:rsidR="000431CA" w:rsidRPr="000431CA" w:rsidRDefault="000431CA" w:rsidP="000431CA">
            <w:pPr>
              <w:ind w:firstLine="397"/>
              <w:jc w:val="both"/>
              <w:rPr>
                <w:lang w:eastAsia="ru-RU"/>
              </w:rPr>
            </w:pPr>
            <w:r w:rsidRPr="000431CA">
              <w:rPr>
                <w:lang w:eastAsia="ru-RU"/>
              </w:rPr>
              <w:t xml:space="preserve">2.4. </w:t>
            </w:r>
            <w:r w:rsidR="0041216F">
              <w:rPr>
                <w:lang w:eastAsia="ru-RU"/>
              </w:rPr>
              <w:t>Значение присвоенного рейтинга</w:t>
            </w:r>
            <w:r w:rsidRPr="000431CA">
              <w:rPr>
                <w:lang w:eastAsia="ru-RU"/>
              </w:rPr>
              <w:t xml:space="preserve">: </w:t>
            </w:r>
            <w:r w:rsidRPr="000431CA">
              <w:rPr>
                <w:b/>
                <w:lang w:eastAsia="ru-RU"/>
              </w:rPr>
              <w:t>кредитный рейтинг</w:t>
            </w:r>
            <w:r w:rsidRPr="000431CA">
              <w:rPr>
                <w:b/>
              </w:rPr>
              <w:t xml:space="preserve"> AAА</w:t>
            </w:r>
            <w:r w:rsidR="001B02DA">
              <w:rPr>
                <w:b/>
              </w:rPr>
              <w:t xml:space="preserve"> (</w:t>
            </w:r>
            <w:r w:rsidR="008C2098">
              <w:rPr>
                <w:b/>
                <w:lang w:val="en-US"/>
              </w:rPr>
              <w:t>RU</w:t>
            </w:r>
            <w:r w:rsidR="001B02DA">
              <w:rPr>
                <w:b/>
              </w:rPr>
              <w:t>)</w:t>
            </w:r>
            <w:r w:rsidRPr="000431CA">
              <w:rPr>
                <w:b/>
              </w:rPr>
              <w:t xml:space="preserve">, прогноз </w:t>
            </w:r>
            <w:r w:rsidR="008C2098">
              <w:rPr>
                <w:b/>
              </w:rPr>
              <w:t>«С</w:t>
            </w:r>
            <w:r w:rsidRPr="000431CA">
              <w:rPr>
                <w:b/>
              </w:rPr>
              <w:t>табильный</w:t>
            </w:r>
            <w:r w:rsidR="008C2098">
              <w:rPr>
                <w:b/>
              </w:rPr>
              <w:t>»</w:t>
            </w:r>
            <w:r w:rsidRPr="000431CA">
              <w:rPr>
                <w:b/>
              </w:rPr>
              <w:t>.</w:t>
            </w:r>
          </w:p>
          <w:p w:rsidR="000431CA" w:rsidRPr="000431CA" w:rsidRDefault="000431CA" w:rsidP="000431CA">
            <w:pPr>
              <w:ind w:firstLine="397"/>
              <w:jc w:val="both"/>
              <w:rPr>
                <w:lang w:eastAsia="ru-RU"/>
              </w:rPr>
            </w:pPr>
            <w:r w:rsidRPr="000431CA">
              <w:rPr>
                <w:lang w:eastAsia="ru-RU"/>
              </w:rPr>
              <w:t xml:space="preserve">2.5. </w:t>
            </w:r>
            <w:r w:rsidR="0041216F">
              <w:rPr>
                <w:lang w:eastAsia="ru-RU"/>
              </w:rPr>
              <w:t>Д</w:t>
            </w:r>
            <w:r w:rsidRPr="000431CA">
              <w:rPr>
                <w:lang w:eastAsia="ru-RU"/>
              </w:rPr>
              <w:t xml:space="preserve">ата присвоения: </w:t>
            </w:r>
            <w:r w:rsidRPr="000431CA">
              <w:rPr>
                <w:b/>
              </w:rPr>
              <w:t>«25» февраля 2025 г.</w:t>
            </w:r>
          </w:p>
          <w:p w:rsidR="000431CA" w:rsidRPr="000431CA" w:rsidRDefault="000431CA" w:rsidP="000431CA">
            <w:pPr>
              <w:adjustRightInd w:val="0"/>
              <w:ind w:firstLine="397"/>
              <w:jc w:val="both"/>
              <w:rPr>
                <w:b/>
                <w:color w:val="000000" w:themeColor="text1"/>
              </w:rPr>
            </w:pPr>
            <w:r w:rsidRPr="000431CA">
              <w:rPr>
                <w:lang w:eastAsia="ru-RU"/>
              </w:rPr>
              <w:t xml:space="preserve">2.6 </w:t>
            </w:r>
            <w:r w:rsidR="0041216F">
              <w:rPr>
                <w:lang w:eastAsia="ru-RU"/>
              </w:rPr>
              <w:t>К</w:t>
            </w:r>
            <w:r w:rsidRPr="000431CA">
              <w:rPr>
                <w:lang w:eastAsia="ru-RU"/>
              </w:rPr>
              <w:t>раткое описание значения рейт</w:t>
            </w:r>
            <w:r w:rsidR="00191601">
              <w:rPr>
                <w:lang w:eastAsia="ru-RU"/>
              </w:rPr>
              <w:t xml:space="preserve">инга или адрес </w:t>
            </w:r>
            <w:r w:rsidR="00191601" w:rsidRPr="00191601">
              <w:rPr>
                <w:lang w:eastAsia="ru-RU"/>
              </w:rPr>
              <w:t>страницы в сети</w:t>
            </w:r>
            <w:r w:rsidR="00191601">
              <w:rPr>
                <w:lang w:eastAsia="ru-RU"/>
              </w:rPr>
              <w:t xml:space="preserve"> </w:t>
            </w:r>
            <w:r w:rsidR="00191601" w:rsidRPr="00191601">
              <w:t>«Интернет»</w:t>
            </w:r>
            <w:r w:rsidRPr="000431CA">
              <w:rPr>
                <w:lang w:eastAsia="ru-RU"/>
              </w:rPr>
              <w:t xml:space="preserve">, на которой в свободном доступе размещена (опубликована) информация о методике присвоения рейтинга: </w:t>
            </w:r>
            <w:hyperlink r:id="rId9" w:history="1">
              <w:r w:rsidRPr="000431CA">
                <w:rPr>
                  <w:rStyle w:val="a8"/>
                  <w:b/>
                  <w:color w:val="000000" w:themeColor="text1"/>
                  <w:u w:val="none"/>
                </w:rPr>
                <w:t>https://www.acra-ratings.ru/press-releases/5520/</w:t>
              </w:r>
            </w:hyperlink>
            <w:r w:rsidRPr="000431CA">
              <w:rPr>
                <w:b/>
                <w:color w:val="000000" w:themeColor="text1"/>
              </w:rPr>
              <w:t xml:space="preserve">. </w:t>
            </w:r>
          </w:p>
          <w:p w:rsidR="000431CA" w:rsidRPr="000431CA" w:rsidRDefault="000431CA" w:rsidP="000431CA">
            <w:pPr>
              <w:ind w:firstLine="397"/>
              <w:jc w:val="both"/>
              <w:rPr>
                <w:lang w:eastAsia="ru-RU"/>
              </w:rPr>
            </w:pPr>
            <w:r w:rsidRPr="000431CA">
              <w:rPr>
                <w:lang w:eastAsia="ru-RU"/>
              </w:rPr>
              <w:t>2.</w:t>
            </w:r>
            <w:r w:rsidR="001B02DA">
              <w:rPr>
                <w:lang w:eastAsia="ru-RU"/>
              </w:rPr>
              <w:t>7</w:t>
            </w:r>
            <w:r w:rsidRPr="000431CA">
              <w:rPr>
                <w:lang w:eastAsia="ru-RU"/>
              </w:rPr>
              <w:t xml:space="preserve">. </w:t>
            </w:r>
            <w:r w:rsidR="0041216F">
              <w:rPr>
                <w:lang w:eastAsia="ru-RU"/>
              </w:rPr>
              <w:t>П</w:t>
            </w:r>
            <w:r w:rsidRPr="000431CA">
              <w:rPr>
                <w:lang w:eastAsia="ru-RU"/>
              </w:rPr>
              <w:t xml:space="preserve">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 </w:t>
            </w:r>
            <w:r w:rsidRPr="000431CA">
              <w:rPr>
                <w:b/>
                <w:bCs/>
              </w:rPr>
              <w:t>полное фи</w:t>
            </w:r>
            <w:bookmarkStart w:id="0" w:name="_GoBack"/>
            <w:bookmarkEnd w:id="0"/>
            <w:r w:rsidRPr="000431CA">
              <w:rPr>
                <w:b/>
                <w:bCs/>
              </w:rPr>
              <w:t xml:space="preserve">рменное наименование: </w:t>
            </w:r>
            <w:r w:rsidRPr="000431CA">
              <w:rPr>
                <w:b/>
              </w:rPr>
              <w:t xml:space="preserve">Аналитическое Кредитное Рейтинговое Агентство (Акционерное общество), </w:t>
            </w:r>
            <w:r w:rsidRPr="000431CA">
              <w:rPr>
                <w:b/>
                <w:color w:val="000000" w:themeColor="text1"/>
              </w:rPr>
              <w:t xml:space="preserve">место нахождения: г. </w:t>
            </w:r>
            <w:r w:rsidRPr="000431CA">
              <w:rPr>
                <w:b/>
              </w:rPr>
              <w:t>Москва,</w:t>
            </w:r>
            <w:r w:rsidRPr="000431CA">
              <w:t xml:space="preserve"> </w:t>
            </w:r>
            <w:r w:rsidRPr="000431CA">
              <w:rPr>
                <w:b/>
                <w:color w:val="000000" w:themeColor="text1"/>
              </w:rPr>
              <w:t>ИНН 9705055855, ОГРН 5157746145167</w:t>
            </w:r>
          </w:p>
          <w:p w:rsidR="00A42679" w:rsidRPr="001B02DA" w:rsidRDefault="000431CA" w:rsidP="001B02DA">
            <w:pPr>
              <w:ind w:firstLine="397"/>
              <w:jc w:val="both"/>
              <w:rPr>
                <w:lang w:eastAsia="ru-RU"/>
              </w:rPr>
            </w:pPr>
            <w:r w:rsidRPr="000431CA">
              <w:rPr>
                <w:lang w:eastAsia="ru-RU"/>
              </w:rPr>
              <w:t>2.</w:t>
            </w:r>
            <w:r w:rsidR="001B02DA">
              <w:rPr>
                <w:lang w:eastAsia="ru-RU"/>
              </w:rPr>
              <w:t>8</w:t>
            </w:r>
            <w:r w:rsidRPr="000431CA">
              <w:rPr>
                <w:lang w:eastAsia="ru-RU"/>
              </w:rPr>
              <w:t xml:space="preserve">. </w:t>
            </w:r>
            <w:r w:rsidR="0041216F">
              <w:rPr>
                <w:lang w:eastAsia="ru-RU"/>
              </w:rPr>
              <w:t>И</w:t>
            </w:r>
            <w:r w:rsidRPr="000431CA">
              <w:rPr>
                <w:lang w:eastAsia="ru-RU"/>
              </w:rPr>
              <w:t xml:space="preserve">ные сведения о рейтинге, указываемые </w:t>
            </w:r>
            <w:r w:rsidR="001B02DA">
              <w:rPr>
                <w:lang w:eastAsia="ru-RU"/>
              </w:rPr>
              <w:t xml:space="preserve">эмитентом по своему усмотрению: </w:t>
            </w:r>
            <w:r w:rsidR="001B02DA" w:rsidRPr="000431CA">
              <w:rPr>
                <w:b/>
              </w:rPr>
              <w:t>иных сведений нет.</w:t>
            </w:r>
          </w:p>
        </w:tc>
      </w:tr>
    </w:tbl>
    <w:p w:rsidR="00483C63" w:rsidRPr="000431CA" w:rsidRDefault="00483C63" w:rsidP="000431CA">
      <w:pPr>
        <w:ind w:firstLine="397"/>
        <w:jc w:val="both"/>
      </w:pPr>
    </w:p>
    <w:tbl>
      <w:tblPr>
        <w:tblW w:w="10243" w:type="dxa"/>
        <w:tblInd w:w="-426" w:type="dxa"/>
        <w:tblLayout w:type="fixed"/>
        <w:tblCellMar>
          <w:left w:w="28" w:type="dxa"/>
          <w:right w:w="28" w:type="dxa"/>
        </w:tblCellMar>
        <w:tblLook w:val="04A0" w:firstRow="1" w:lastRow="0" w:firstColumn="1" w:lastColumn="0" w:noHBand="0" w:noVBand="1"/>
      </w:tblPr>
      <w:tblGrid>
        <w:gridCol w:w="1231"/>
        <w:gridCol w:w="466"/>
        <w:gridCol w:w="275"/>
        <w:gridCol w:w="1317"/>
        <w:gridCol w:w="416"/>
        <w:gridCol w:w="307"/>
        <w:gridCol w:w="1209"/>
        <w:gridCol w:w="1338"/>
        <w:gridCol w:w="462"/>
        <w:gridCol w:w="3072"/>
        <w:gridCol w:w="150"/>
      </w:tblGrid>
      <w:tr w:rsidR="00483C63">
        <w:trPr>
          <w:cantSplit/>
          <w:trHeight w:val="248"/>
        </w:trPr>
        <w:tc>
          <w:tcPr>
            <w:tcW w:w="10243" w:type="dxa"/>
            <w:gridSpan w:val="11"/>
            <w:tcBorders>
              <w:top w:val="single" w:sz="4" w:space="0" w:color="000000"/>
              <w:left w:val="single" w:sz="4" w:space="0" w:color="000000"/>
              <w:bottom w:val="single" w:sz="4" w:space="0" w:color="000000"/>
              <w:right w:val="single" w:sz="4" w:space="0" w:color="000000"/>
            </w:tcBorders>
          </w:tcPr>
          <w:p w:rsidR="00483C63" w:rsidRDefault="0067023E">
            <w:pPr>
              <w:jc w:val="center"/>
            </w:pPr>
            <w:r>
              <w:t>3. Подпись</w:t>
            </w:r>
          </w:p>
        </w:tc>
      </w:tr>
      <w:tr w:rsidR="00483C63">
        <w:trPr>
          <w:cantSplit/>
          <w:trHeight w:val="859"/>
        </w:trPr>
        <w:tc>
          <w:tcPr>
            <w:tcW w:w="5221" w:type="dxa"/>
            <w:gridSpan w:val="7"/>
            <w:tcBorders>
              <w:top w:val="single" w:sz="4" w:space="0" w:color="000000"/>
              <w:left w:val="single" w:sz="4" w:space="0" w:color="000000"/>
            </w:tcBorders>
          </w:tcPr>
          <w:p w:rsidR="00A87A10" w:rsidRPr="00A42679" w:rsidRDefault="0067023E">
            <w:pPr>
              <w:pStyle w:val="af2"/>
              <w:rPr>
                <w:rFonts w:eastAsia="Times New Roman" w:cs="Times New Roman"/>
                <w:b/>
                <w:color w:val="000000"/>
              </w:rPr>
            </w:pPr>
            <w:r>
              <w:rPr>
                <w:b/>
                <w:szCs w:val="22"/>
              </w:rPr>
              <w:t xml:space="preserve">3.1. </w:t>
            </w:r>
            <w:r>
              <w:rPr>
                <w:rFonts w:eastAsia="Times New Roman" w:cs="Times New Roman"/>
                <w:b/>
                <w:color w:val="000000"/>
              </w:rPr>
              <w:t xml:space="preserve">Начальник Управления корпоративных и имущественных отношений, действующий на основании доверенности </w:t>
            </w:r>
          </w:p>
          <w:p w:rsidR="00483C63" w:rsidRDefault="0067023E">
            <w:pPr>
              <w:pStyle w:val="af2"/>
            </w:pPr>
            <w:r>
              <w:rPr>
                <w:rFonts w:eastAsia="Times New Roman" w:cs="Times New Roman"/>
                <w:b/>
                <w:color w:val="000000"/>
              </w:rPr>
              <w:t>№ 78/66-н/78-2022-3-513</w:t>
            </w:r>
            <w:r w:rsidR="00A87A10">
              <w:rPr>
                <w:rFonts w:eastAsia="Times New Roman" w:cs="Times New Roman"/>
                <w:b/>
                <w:color w:val="000000"/>
              </w:rPr>
              <w:t xml:space="preserve"> от 07.06.2022</w:t>
            </w:r>
          </w:p>
        </w:tc>
        <w:tc>
          <w:tcPr>
            <w:tcW w:w="1800" w:type="dxa"/>
            <w:gridSpan w:val="2"/>
            <w:tcBorders>
              <w:top w:val="single" w:sz="4" w:space="0" w:color="000000"/>
              <w:bottom w:val="single" w:sz="4" w:space="0" w:color="000000"/>
            </w:tcBorders>
            <w:vAlign w:val="bottom"/>
          </w:tcPr>
          <w:p w:rsidR="00483C63" w:rsidRDefault="00483C63">
            <w:pPr>
              <w:jc w:val="right"/>
              <w:rPr>
                <w:b/>
                <w:szCs w:val="22"/>
              </w:rPr>
            </w:pPr>
          </w:p>
        </w:tc>
        <w:tc>
          <w:tcPr>
            <w:tcW w:w="3072" w:type="dxa"/>
            <w:tcBorders>
              <w:top w:val="single" w:sz="4" w:space="0" w:color="000000"/>
            </w:tcBorders>
            <w:vAlign w:val="bottom"/>
          </w:tcPr>
          <w:p w:rsidR="00483C63" w:rsidRDefault="0067023E">
            <w:pPr>
              <w:jc w:val="right"/>
            </w:pPr>
            <w:r>
              <w:rPr>
                <w:b/>
                <w:szCs w:val="22"/>
              </w:rPr>
              <w:t>Е.Н. Егорова</w:t>
            </w:r>
          </w:p>
        </w:tc>
        <w:tc>
          <w:tcPr>
            <w:tcW w:w="150" w:type="dxa"/>
            <w:tcBorders>
              <w:top w:val="single" w:sz="4" w:space="0" w:color="000000"/>
              <w:right w:val="single" w:sz="4" w:space="0" w:color="000000"/>
            </w:tcBorders>
            <w:vAlign w:val="bottom"/>
          </w:tcPr>
          <w:p w:rsidR="00483C63" w:rsidRDefault="00483C63">
            <w:pPr>
              <w:rPr>
                <w:b/>
                <w:sz w:val="22"/>
                <w:szCs w:val="22"/>
              </w:rPr>
            </w:pPr>
          </w:p>
        </w:tc>
      </w:tr>
      <w:tr w:rsidR="00483C63">
        <w:trPr>
          <w:cantSplit/>
          <w:trHeight w:hRule="exact" w:val="280"/>
        </w:trPr>
        <w:tc>
          <w:tcPr>
            <w:tcW w:w="5221" w:type="dxa"/>
            <w:gridSpan w:val="7"/>
            <w:tcBorders>
              <w:left w:val="single" w:sz="4" w:space="0" w:color="000000"/>
            </w:tcBorders>
          </w:tcPr>
          <w:p w:rsidR="00483C63" w:rsidRDefault="00483C63">
            <w:pPr>
              <w:rPr>
                <w:b/>
                <w:sz w:val="24"/>
                <w:szCs w:val="24"/>
              </w:rPr>
            </w:pPr>
          </w:p>
        </w:tc>
        <w:tc>
          <w:tcPr>
            <w:tcW w:w="1800" w:type="dxa"/>
            <w:gridSpan w:val="2"/>
          </w:tcPr>
          <w:p w:rsidR="00483C63" w:rsidRDefault="0067023E">
            <w:pPr>
              <w:jc w:val="center"/>
            </w:pPr>
            <w:r>
              <w:t>(подпись)</w:t>
            </w:r>
          </w:p>
        </w:tc>
        <w:tc>
          <w:tcPr>
            <w:tcW w:w="3072" w:type="dxa"/>
          </w:tcPr>
          <w:p w:rsidR="00483C63" w:rsidRDefault="00483C63"/>
        </w:tc>
        <w:tc>
          <w:tcPr>
            <w:tcW w:w="150" w:type="dxa"/>
            <w:tcBorders>
              <w:right w:val="single" w:sz="4" w:space="0" w:color="000000"/>
            </w:tcBorders>
          </w:tcPr>
          <w:p w:rsidR="00483C63" w:rsidRDefault="00483C63">
            <w:pPr>
              <w:rPr>
                <w:sz w:val="22"/>
                <w:szCs w:val="22"/>
              </w:rPr>
            </w:pPr>
          </w:p>
        </w:tc>
      </w:tr>
      <w:tr w:rsidR="00483C63" w:rsidTr="00191601">
        <w:trPr>
          <w:cantSplit/>
        </w:trPr>
        <w:tc>
          <w:tcPr>
            <w:tcW w:w="1231" w:type="dxa"/>
            <w:tcBorders>
              <w:left w:val="single" w:sz="4" w:space="0" w:color="000000"/>
            </w:tcBorders>
            <w:vAlign w:val="bottom"/>
          </w:tcPr>
          <w:p w:rsidR="00483C63" w:rsidRDefault="0067023E" w:rsidP="00191601">
            <w:r>
              <w:t xml:space="preserve">3.2. Дата  </w:t>
            </w:r>
          </w:p>
        </w:tc>
        <w:tc>
          <w:tcPr>
            <w:tcW w:w="466" w:type="dxa"/>
            <w:tcBorders>
              <w:bottom w:val="single" w:sz="4" w:space="0" w:color="000000"/>
            </w:tcBorders>
            <w:vAlign w:val="bottom"/>
          </w:tcPr>
          <w:p w:rsidR="00483C63" w:rsidRPr="00191601" w:rsidRDefault="00191601">
            <w:pPr>
              <w:jc w:val="center"/>
            </w:pPr>
            <w:r w:rsidRPr="00191601">
              <w:t>«25»</w:t>
            </w:r>
          </w:p>
        </w:tc>
        <w:tc>
          <w:tcPr>
            <w:tcW w:w="275" w:type="dxa"/>
            <w:vAlign w:val="bottom"/>
          </w:tcPr>
          <w:p w:rsidR="00483C63" w:rsidRPr="00191601" w:rsidRDefault="00483C63"/>
        </w:tc>
        <w:tc>
          <w:tcPr>
            <w:tcW w:w="1317" w:type="dxa"/>
            <w:tcBorders>
              <w:bottom w:val="single" w:sz="4" w:space="0" w:color="000000"/>
            </w:tcBorders>
            <w:vAlign w:val="bottom"/>
          </w:tcPr>
          <w:p w:rsidR="00483C63" w:rsidRDefault="0067023E" w:rsidP="00235D1F">
            <w:r>
              <w:t xml:space="preserve"> </w:t>
            </w:r>
            <w:r w:rsidR="00235D1F">
              <w:t>февраля</w:t>
            </w:r>
          </w:p>
        </w:tc>
        <w:tc>
          <w:tcPr>
            <w:tcW w:w="416" w:type="dxa"/>
            <w:vAlign w:val="bottom"/>
          </w:tcPr>
          <w:p w:rsidR="00483C63" w:rsidRDefault="0067023E">
            <w:pPr>
              <w:jc w:val="right"/>
            </w:pPr>
            <w:r>
              <w:t>20</w:t>
            </w:r>
          </w:p>
        </w:tc>
        <w:tc>
          <w:tcPr>
            <w:tcW w:w="307" w:type="dxa"/>
            <w:tcBorders>
              <w:bottom w:val="single" w:sz="4" w:space="0" w:color="000000"/>
            </w:tcBorders>
            <w:vAlign w:val="bottom"/>
          </w:tcPr>
          <w:p w:rsidR="00483C63" w:rsidRDefault="0067023E" w:rsidP="00235D1F">
            <w:r>
              <w:t>2</w:t>
            </w:r>
            <w:r w:rsidR="00235D1F">
              <w:t>5</w:t>
            </w:r>
          </w:p>
        </w:tc>
        <w:tc>
          <w:tcPr>
            <w:tcW w:w="1209" w:type="dxa"/>
            <w:vAlign w:val="bottom"/>
          </w:tcPr>
          <w:p w:rsidR="00483C63" w:rsidRDefault="0067023E">
            <w:r>
              <w:t>г.</w:t>
            </w:r>
          </w:p>
        </w:tc>
        <w:tc>
          <w:tcPr>
            <w:tcW w:w="1338" w:type="dxa"/>
            <w:vAlign w:val="bottom"/>
          </w:tcPr>
          <w:p w:rsidR="00483C63" w:rsidRDefault="00483C63">
            <w:pPr>
              <w:jc w:val="center"/>
            </w:pPr>
          </w:p>
        </w:tc>
        <w:tc>
          <w:tcPr>
            <w:tcW w:w="3684" w:type="dxa"/>
            <w:gridSpan w:val="3"/>
            <w:tcBorders>
              <w:right w:val="single" w:sz="4" w:space="0" w:color="000000"/>
            </w:tcBorders>
            <w:vAlign w:val="bottom"/>
          </w:tcPr>
          <w:p w:rsidR="00483C63" w:rsidRDefault="00483C63"/>
        </w:tc>
      </w:tr>
      <w:tr w:rsidR="00483C63">
        <w:trPr>
          <w:cantSplit/>
        </w:trPr>
        <w:tc>
          <w:tcPr>
            <w:tcW w:w="5221" w:type="dxa"/>
            <w:gridSpan w:val="7"/>
            <w:tcBorders>
              <w:left w:val="single" w:sz="4" w:space="0" w:color="000000"/>
              <w:bottom w:val="single" w:sz="4" w:space="0" w:color="000000"/>
            </w:tcBorders>
          </w:tcPr>
          <w:p w:rsidR="00483C63" w:rsidRDefault="00483C63">
            <w:pPr>
              <w:rPr>
                <w:sz w:val="22"/>
                <w:szCs w:val="22"/>
              </w:rPr>
            </w:pPr>
          </w:p>
        </w:tc>
        <w:tc>
          <w:tcPr>
            <w:tcW w:w="1338" w:type="dxa"/>
            <w:tcBorders>
              <w:bottom w:val="single" w:sz="4" w:space="0" w:color="000000"/>
            </w:tcBorders>
          </w:tcPr>
          <w:p w:rsidR="00483C63" w:rsidRDefault="00483C63">
            <w:pPr>
              <w:jc w:val="center"/>
              <w:rPr>
                <w:sz w:val="22"/>
                <w:szCs w:val="22"/>
              </w:rPr>
            </w:pPr>
          </w:p>
        </w:tc>
        <w:tc>
          <w:tcPr>
            <w:tcW w:w="3684" w:type="dxa"/>
            <w:gridSpan w:val="3"/>
            <w:tcBorders>
              <w:bottom w:val="single" w:sz="4" w:space="0" w:color="000000"/>
              <w:right w:val="single" w:sz="4" w:space="0" w:color="000000"/>
            </w:tcBorders>
          </w:tcPr>
          <w:p w:rsidR="00483C63" w:rsidRDefault="00483C63">
            <w:pPr>
              <w:rPr>
                <w:sz w:val="22"/>
                <w:szCs w:val="22"/>
              </w:rPr>
            </w:pPr>
          </w:p>
        </w:tc>
      </w:tr>
    </w:tbl>
    <w:p w:rsidR="00483C63" w:rsidRDefault="00483C63"/>
    <w:sectPr w:rsidR="00483C63">
      <w:headerReference w:type="default" r:id="rId10"/>
      <w:pgSz w:w="11906" w:h="16838"/>
      <w:pgMar w:top="851" w:right="851" w:bottom="851" w:left="1701" w:header="284"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9E" w:rsidRDefault="00D91E9E">
      <w:r>
        <w:separator/>
      </w:r>
    </w:p>
  </w:endnote>
  <w:endnote w:type="continuationSeparator" w:id="0">
    <w:p w:rsidR="00D91E9E" w:rsidRDefault="00D9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1"/>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9E" w:rsidRDefault="00D91E9E">
      <w:r>
        <w:separator/>
      </w:r>
    </w:p>
  </w:footnote>
  <w:footnote w:type="continuationSeparator" w:id="0">
    <w:p w:rsidR="00D91E9E" w:rsidRDefault="00D91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C63" w:rsidRDefault="0067023E">
    <w:pPr>
      <w:pStyle w:val="afc"/>
    </w:pPr>
    <w:r>
      <w:rPr>
        <w:noProof/>
        <w:lang w:eastAsia="ru-RU"/>
      </w:rPr>
      <mc:AlternateContent>
        <mc:Choice Requires="wps">
          <w:drawing>
            <wp:anchor distT="0" distB="0" distL="109220" distR="109220" simplePos="0" relativeHeight="251657728" behindDoc="1" locked="0" layoutInCell="0" allowOverlap="1">
              <wp:simplePos x="0" y="0"/>
              <wp:positionH relativeFrom="column">
                <wp:posOffset>0</wp:posOffset>
              </wp:positionH>
              <wp:positionV relativeFrom="paragraph">
                <wp:posOffset>635</wp:posOffset>
              </wp:positionV>
              <wp:extent cx="78740" cy="20320"/>
              <wp:effectExtent l="5080" t="5080" r="5080" b="5080"/>
              <wp:wrapSquare wrapText="bothSides"/>
              <wp:docPr id="1" name="_x005F_x0000_s1025"/>
              <wp:cNvGraphicFramePr/>
              <a:graphic xmlns:a="http://schemas.openxmlformats.org/drawingml/2006/main">
                <a:graphicData uri="http://schemas.microsoft.com/office/word/2010/wordprocessingShape">
                  <wps:wsp>
                    <wps:cNvSpPr/>
                    <wps:spPr bwMode="auto">
                      <a:xfrm>
                        <a:off x="0" y="0"/>
                        <a:ext cx="78840" cy="20160"/>
                      </a:xfrm>
                      <a:prstGeom prst="rect">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11A1F70" id="_x005F_x0000_s1025" o:spid="_x0000_s1026" style="position:absolute;margin-left:0;margin-top:.05pt;width:6.2pt;height:1.6pt;z-index:-251658752;visibility:visible;mso-wrap-style:square;mso-wrap-distance-left:8.6pt;mso-wrap-distance-top:0;mso-wrap-distance-right:8.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" o:allowincell="f" strokeweight=".26mm">
              <v:stroke joinstyle="round"/>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23410"/>
    <w:multiLevelType w:val="multilevel"/>
    <w:tmpl w:val="4FC003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3"/>
    <w:rsid w:val="000431CA"/>
    <w:rsid w:val="00082CD0"/>
    <w:rsid w:val="00191601"/>
    <w:rsid w:val="001B02DA"/>
    <w:rsid w:val="001B5F97"/>
    <w:rsid w:val="001C111E"/>
    <w:rsid w:val="001F5F90"/>
    <w:rsid w:val="00235D1F"/>
    <w:rsid w:val="002728FB"/>
    <w:rsid w:val="003B4CDB"/>
    <w:rsid w:val="0041216F"/>
    <w:rsid w:val="00483C63"/>
    <w:rsid w:val="0049474D"/>
    <w:rsid w:val="0059776A"/>
    <w:rsid w:val="0067023E"/>
    <w:rsid w:val="006C0741"/>
    <w:rsid w:val="007B7221"/>
    <w:rsid w:val="008C2098"/>
    <w:rsid w:val="00A42679"/>
    <w:rsid w:val="00A76883"/>
    <w:rsid w:val="00A856C7"/>
    <w:rsid w:val="00A87A10"/>
    <w:rsid w:val="00B30154"/>
    <w:rsid w:val="00D437D9"/>
    <w:rsid w:val="00D57905"/>
    <w:rsid w:val="00D9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C61F8-8EB9-4A90-B5D4-783A261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WenQuanYi Micro Hei" w:hAnsi="Times New Roman" w:cs="Lohit Devanagar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bidi="ar-S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WW8Num3z0">
    <w:name w:val="WW8Num3z0"/>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7z1">
    <w:name w:val="WW8Num7z1"/>
    <w:qFormat/>
  </w:style>
  <w:style w:type="character" w:customStyle="1" w:styleId="WW8Num8z0">
    <w:name w:val="WW8Num8z0"/>
    <w:qFormat/>
  </w:style>
  <w:style w:type="character" w:customStyle="1" w:styleId="WW8Num11z0">
    <w:name w:val="WW8Num11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2">
    <w:name w:val="WW8Num17z2"/>
    <w:qFormat/>
  </w:style>
  <w:style w:type="character" w:customStyle="1" w:styleId="WW8Num18z0">
    <w:name w:val="WW8Num18z0"/>
    <w:qFormat/>
    <w:rPr>
      <w:color w:val="000000"/>
    </w:rPr>
  </w:style>
  <w:style w:type="character" w:customStyle="1" w:styleId="WW8Num20z0">
    <w:name w:val="WW8Num20z0"/>
    <w:qFormat/>
  </w:style>
  <w:style w:type="character" w:customStyle="1" w:styleId="WW8Num23z0">
    <w:name w:val="WW8Num23z0"/>
    <w:qFormat/>
  </w:style>
  <w:style w:type="character" w:customStyle="1" w:styleId="WW8Num23z1">
    <w:name w:val="WW8Num23z1"/>
    <w:qFormat/>
    <w:rPr>
      <w:sz w:val="26"/>
      <w:szCs w:val="26"/>
    </w:rPr>
  </w:style>
  <w:style w:type="character" w:customStyle="1" w:styleId="WW8Num23z2">
    <w:name w:val="WW8Num23z2"/>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style>
  <w:style w:type="character" w:customStyle="1" w:styleId="WW8Num26z0">
    <w:name w:val="WW8Num26z0"/>
    <w:qFormat/>
  </w:style>
  <w:style w:type="character" w:customStyle="1" w:styleId="WW8Num27z0">
    <w:name w:val="WW8Num27z0"/>
    <w:qFormat/>
    <w:rPr>
      <w:color w:val="000000"/>
    </w:rPr>
  </w:style>
  <w:style w:type="character" w:styleId="a7">
    <w:name w:val="page number"/>
    <w:basedOn w:val="a0"/>
  </w:style>
  <w:style w:type="character" w:styleId="a8">
    <w:name w:val="Hyperlink"/>
    <w:rPr>
      <w:color w:val="0000FF"/>
      <w:u w:val="single"/>
    </w:rPr>
  </w:style>
  <w:style w:type="character" w:customStyle="1" w:styleId="20">
    <w:name w:val="Основной текст с отступом 2 Знак"/>
    <w:qFormat/>
    <w:rPr>
      <w:sz w:val="28"/>
      <w:szCs w:val="24"/>
    </w:rPr>
  </w:style>
  <w:style w:type="character" w:customStyle="1" w:styleId="HTML">
    <w:name w:val="Стандартный HTML Знак"/>
    <w:qFormat/>
    <w:rPr>
      <w:rFonts w:ascii="Courier New" w:hAnsi="Courier New" w:cs="Courier New"/>
    </w:rPr>
  </w:style>
  <w:style w:type="character" w:customStyle="1" w:styleId="a9">
    <w:name w:val="Обычный (веб) Знак"/>
    <w:qFormat/>
    <w:rPr>
      <w:rFonts w:eastAsia="Calibri"/>
      <w:sz w:val="24"/>
      <w:szCs w:val="24"/>
      <w:lang w:val="en-GB"/>
    </w:rPr>
  </w:style>
  <w:style w:type="character" w:styleId="aa">
    <w:name w:val="Strong"/>
    <w:qFormat/>
    <w:rPr>
      <w:b/>
      <w:bCs/>
    </w:rPr>
  </w:style>
  <w:style w:type="character" w:customStyle="1" w:styleId="Style12ptBoldItalic">
    <w:name w:val="Style 12 pt Bold Italic"/>
    <w:qFormat/>
    <w:rPr>
      <w:rFonts w:ascii="Times New Roman" w:hAnsi="Times New Roman" w:cs="Times New Roman"/>
      <w:b/>
      <w:bCs/>
      <w:i/>
      <w:iCs/>
      <w:sz w:val="22"/>
    </w:rPr>
  </w:style>
  <w:style w:type="character" w:styleId="ab">
    <w:name w:val="FollowedHyperlink"/>
    <w:rPr>
      <w:color w:val="954F72"/>
      <w:u w:val="single"/>
    </w:rPr>
  </w:style>
  <w:style w:type="character" w:customStyle="1" w:styleId="ac">
    <w:name w:val="Символ нумерации"/>
    <w:qFormat/>
  </w:style>
  <w:style w:type="paragraph" w:customStyle="1" w:styleId="10">
    <w:name w:val="Заголовок1"/>
    <w:basedOn w:val="a"/>
    <w:next w:val="ad"/>
    <w:qFormat/>
    <w:pPr>
      <w:keepNext/>
      <w:spacing w:before="240" w:after="120"/>
    </w:pPr>
    <w:rPr>
      <w:rFonts w:ascii="Open Sans" w:eastAsia="WenQuanYi Micro Hei" w:hAnsi="Open Sans" w:cs="Lohit Devanagari"/>
      <w:sz w:val="28"/>
      <w:szCs w:val="28"/>
    </w:rPr>
  </w:style>
  <w:style w:type="paragraph" w:styleId="ad">
    <w:name w:val="Body Text"/>
    <w:basedOn w:val="a"/>
    <w:pPr>
      <w:spacing w:after="140" w:line="276" w:lineRule="auto"/>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styleId="af0">
    <w:name w:val="index heading"/>
    <w:basedOn w:val="10"/>
  </w:style>
  <w:style w:type="paragraph" w:styleId="af1">
    <w:name w:val="List Paragraph"/>
    <w:basedOn w:val="a"/>
    <w:uiPriority w:val="34"/>
    <w:qFormat/>
    <w:pPr>
      <w:ind w:left="720"/>
      <w:contextualSpacing/>
    </w:pPr>
  </w:style>
  <w:style w:type="paragraph" w:styleId="af2">
    <w:name w:val="No Spacing"/>
    <w:uiPriority w:val="1"/>
    <w:qFormat/>
  </w:style>
  <w:style w:type="paragraph" w:styleId="af3">
    <w:name w:val="Title"/>
    <w:basedOn w:val="a"/>
    <w:uiPriority w:val="10"/>
    <w:qFormat/>
    <w:pPr>
      <w:spacing w:before="300" w:after="200"/>
      <w:contextualSpacing/>
    </w:pPr>
    <w:rPr>
      <w:sz w:val="48"/>
      <w:szCs w:val="48"/>
    </w:rPr>
  </w:style>
  <w:style w:type="paragraph" w:styleId="af4">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Колонтитул"/>
    <w:basedOn w:val="a"/>
    <w:qFormat/>
    <w:pPr>
      <w:suppressLineNumbers/>
      <w:tabs>
        <w:tab w:val="center" w:pos="4819"/>
        <w:tab w:val="right" w:pos="9638"/>
      </w:tabs>
    </w:pPr>
  </w:style>
  <w:style w:type="paragraph" w:styleId="af7">
    <w:name w:val="footer"/>
    <w:basedOn w:val="a"/>
    <w:uiPriority w:val="99"/>
    <w:unhideWhenUsed/>
    <w:pPr>
      <w:tabs>
        <w:tab w:val="center" w:pos="7143"/>
        <w:tab w:val="right" w:pos="14287"/>
      </w:tabs>
    </w:pPr>
  </w:style>
  <w:style w:type="paragraph" w:styleId="af8">
    <w:name w:val="footnote text"/>
    <w:basedOn w:val="a"/>
    <w:uiPriority w:val="99"/>
    <w:semiHidden/>
    <w:unhideWhenUsed/>
    <w:pPr>
      <w:spacing w:after="40"/>
    </w:pPr>
    <w:rPr>
      <w:sz w:val="18"/>
    </w:rPr>
  </w:style>
  <w:style w:type="paragraph" w:styleId="af9">
    <w:name w:val="endnote text"/>
    <w:basedOn w:val="a"/>
    <w:uiPriority w:val="99"/>
    <w:semiHidden/>
    <w:unhideWhenUsed/>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a">
    <w:name w:val="TOC Heading"/>
    <w:uiPriority w:val="39"/>
    <w:unhideWhenUsed/>
    <w:qFormat/>
  </w:style>
  <w:style w:type="paragraph" w:styleId="afb">
    <w:name w:val="table of figures"/>
    <w:basedOn w:val="a"/>
    <w:uiPriority w:val="99"/>
    <w:unhideWhenUsed/>
  </w:style>
  <w:style w:type="paragraph" w:customStyle="1" w:styleId="Caption1">
    <w:name w:val="Caption1"/>
    <w:basedOn w:val="a"/>
    <w:qFormat/>
    <w:pPr>
      <w:suppressLineNumbers/>
      <w:spacing w:before="120" w:after="120"/>
    </w:pPr>
    <w:rPr>
      <w:rFonts w:cs="Lohit Devanagari"/>
      <w:i/>
      <w:iCs/>
      <w:sz w:val="24"/>
      <w:szCs w:val="24"/>
    </w:rPr>
  </w:style>
  <w:style w:type="paragraph" w:styleId="afc">
    <w:name w:val="header"/>
    <w:basedOn w:val="a"/>
    <w:pPr>
      <w:tabs>
        <w:tab w:val="center" w:pos="4153"/>
        <w:tab w:val="right" w:pos="8306"/>
      </w:tabs>
    </w:pPr>
  </w:style>
  <w:style w:type="paragraph" w:styleId="afd">
    <w:name w:val="Balloon Text"/>
    <w:basedOn w:val="a"/>
    <w:qFormat/>
    <w:rPr>
      <w:rFonts w:ascii="Tahoma" w:hAnsi="Tahoma" w:cs="Tahoma"/>
      <w:sz w:val="16"/>
      <w:szCs w:val="16"/>
    </w:rPr>
  </w:style>
  <w:style w:type="paragraph" w:customStyle="1" w:styleId="prilozhenie">
    <w:name w:val="prilozhenie"/>
    <w:basedOn w:val="a"/>
    <w:qFormat/>
    <w:pPr>
      <w:ind w:firstLine="709"/>
      <w:jc w:val="both"/>
    </w:pPr>
    <w:rPr>
      <w:sz w:val="24"/>
      <w:szCs w:val="24"/>
    </w:rPr>
  </w:style>
  <w:style w:type="paragraph" w:styleId="23">
    <w:name w:val="Body Text Indent 2"/>
    <w:basedOn w:val="a"/>
    <w:qFormat/>
    <w:pPr>
      <w:spacing w:after="120" w:line="480" w:lineRule="auto"/>
      <w:ind w:left="283" w:firstLine="709"/>
      <w:jc w:val="both"/>
    </w:pPr>
    <w:rPr>
      <w:sz w:val="28"/>
      <w:szCs w:val="24"/>
    </w:rPr>
  </w:style>
  <w:style w:type="paragraph" w:styleId="HTML0">
    <w:name w:val="HTML Preformatted"/>
    <w:basedOn w:val="a"/>
    <w:qFormat/>
    <w:rPr>
      <w:rFonts w:ascii="Courier New" w:hAnsi="Courier New" w:cs="Courier New"/>
    </w:rPr>
  </w:style>
  <w:style w:type="paragraph" w:customStyle="1" w:styleId="ConsPlusNormal">
    <w:name w:val="ConsPlusNormal"/>
    <w:qFormat/>
    <w:rPr>
      <w:rFonts w:eastAsia="Times New Roman" w:cs="Times New Roman"/>
      <w:sz w:val="24"/>
      <w:szCs w:val="24"/>
      <w:lang w:bidi="ar-SA"/>
    </w:rPr>
  </w:style>
  <w:style w:type="paragraph" w:styleId="afe">
    <w:name w:val="Normal (Web)"/>
    <w:basedOn w:val="a"/>
    <w:uiPriority w:val="99"/>
    <w:qFormat/>
    <w:pPr>
      <w:spacing w:before="280" w:after="280"/>
    </w:pPr>
    <w:rPr>
      <w:rFonts w:eastAsia="Calibri"/>
      <w:sz w:val="24"/>
      <w:szCs w:val="24"/>
      <w:lang w:val="en-GB"/>
    </w:rPr>
  </w:style>
  <w:style w:type="paragraph" w:customStyle="1" w:styleId="aff">
    <w:name w:val="Содержимое таблицы"/>
    <w:basedOn w:val="a"/>
    <w:qFormat/>
    <w:pPr>
      <w:widowControl w:val="0"/>
      <w:suppressLineNumbers/>
    </w:pPr>
  </w:style>
  <w:style w:type="paragraph" w:customStyle="1" w:styleId="aff0">
    <w:name w:val="Заголовок таблицы"/>
    <w:basedOn w:val="aff"/>
    <w:qFormat/>
    <w:pPr>
      <w:jc w:val="center"/>
    </w:pPr>
    <w:rPr>
      <w:b/>
      <w:bCs/>
    </w:rPr>
  </w:style>
  <w:style w:type="paragraph" w:customStyle="1" w:styleId="aff1">
    <w:name w:val="Содержимое врезки"/>
    <w:basedOn w:val="a"/>
    <w:qFormat/>
  </w:style>
  <w:style w:type="table" w:styleId="aff2">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4">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sz w:val="22"/>
      </w:rPr>
      <w:tblPr/>
      <w:tcPr>
        <w:tcBorders>
          <w:top w:val="single" w:sz="4" w:space="0" w:color="FFFFFF" w:themeColor="light1"/>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sz w:val="22"/>
      </w:rPr>
      <w:tblPr/>
      <w:tcPr>
        <w:tcBorders>
          <w:top w:val="single" w:sz="4" w:space="0" w:color="FFFFFF" w:themeColor="light1"/>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sz w:val="22"/>
      </w:rPr>
      <w:tblPr/>
      <w:tcPr>
        <w:tcBorders>
          <w:top w:val="single" w:sz="4" w:space="0" w:color="FFFFFF" w:themeColor="light1"/>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sz w:val="22"/>
      </w:rPr>
      <w:tblPr/>
      <w:tcPr>
        <w:tcBorders>
          <w:top w:val="single" w:sz="4" w:space="0" w:color="FFFFFF" w:themeColor="light1"/>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sz w:val="22"/>
      </w:rPr>
      <w:tblPr/>
      <w:tcPr>
        <w:tcBorders>
          <w:top w:val="single" w:sz="4" w:space="0" w:color="FFFFFF" w:themeColor="light1"/>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sz w:val="22"/>
      </w:rPr>
      <w:tblPr/>
      <w:tcPr>
        <w:tcBorders>
          <w:top w:val="single" w:sz="4" w:space="0" w:color="FFFFFF" w:themeColor="light1"/>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42">
    <w:name w:val="Абзац 4"/>
    <w:basedOn w:val="aff1"/>
    <w:hidden/>
    <w:pPr>
      <w:pBdr>
        <w:top w:val="none" w:sz="4" w:space="0" w:color="000000"/>
        <w:left w:val="none" w:sz="4" w:space="0" w:color="000000"/>
        <w:bottom w:val="none" w:sz="4" w:space="0" w:color="000000"/>
        <w:right w:val="none" w:sz="4" w:space="0" w:color="000000"/>
        <w:between w:val="none" w:sz="4" w:space="0" w:color="000000"/>
      </w:pBdr>
      <w:jc w:val="both"/>
    </w:pPr>
    <w:rPr>
      <w:rFonts w:eastAsiaTheme="minorEastAsia" w:cstheme="minorBidi"/>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3375">
      <w:bodyDiv w:val="1"/>
      <w:marLeft w:val="0"/>
      <w:marRight w:val="0"/>
      <w:marTop w:val="0"/>
      <w:marBottom w:val="0"/>
      <w:divBdr>
        <w:top w:val="none" w:sz="0" w:space="0" w:color="auto"/>
        <w:left w:val="none" w:sz="0" w:space="0" w:color="auto"/>
        <w:bottom w:val="none" w:sz="0" w:space="0" w:color="auto"/>
        <w:right w:val="none" w:sz="0" w:space="0" w:color="auto"/>
      </w:divBdr>
    </w:div>
    <w:div w:id="554976937">
      <w:bodyDiv w:val="1"/>
      <w:marLeft w:val="0"/>
      <w:marRight w:val="0"/>
      <w:marTop w:val="0"/>
      <w:marBottom w:val="0"/>
      <w:divBdr>
        <w:top w:val="none" w:sz="0" w:space="0" w:color="auto"/>
        <w:left w:val="none" w:sz="0" w:space="0" w:color="auto"/>
        <w:bottom w:val="none" w:sz="0" w:space="0" w:color="auto"/>
        <w:right w:val="none" w:sz="0" w:space="0" w:color="auto"/>
      </w:divBdr>
    </w:div>
    <w:div w:id="1199078945">
      <w:bodyDiv w:val="1"/>
      <w:marLeft w:val="0"/>
      <w:marRight w:val="0"/>
      <w:marTop w:val="0"/>
      <w:marBottom w:val="0"/>
      <w:divBdr>
        <w:top w:val="none" w:sz="0" w:space="0" w:color="auto"/>
        <w:left w:val="none" w:sz="0" w:space="0" w:color="auto"/>
        <w:bottom w:val="none" w:sz="0" w:space="0" w:color="auto"/>
        <w:right w:val="none" w:sz="0" w:space="0" w:color="auto"/>
      </w:divBdr>
    </w:div>
    <w:div w:id="15324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7234" TargetMode="External"/><Relationship Id="rId3" Type="http://schemas.openxmlformats.org/officeDocument/2006/relationships/settings" Target="settings.xml"/><Relationship Id="rId7" Type="http://schemas.openxmlformats.org/officeDocument/2006/relationships/hyperlink" Target="https://www.ogk2.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ra-ratings.ru/press-releases/552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shamne.anna</dc:creator>
  <dc:description/>
  <cp:lastModifiedBy>Палинова Екатерина Александровна</cp:lastModifiedBy>
  <cp:revision>2</cp:revision>
  <cp:lastPrinted>2025-02-25T12:22:00Z</cp:lastPrinted>
  <dcterms:created xsi:type="dcterms:W3CDTF">2025-02-25T12:42:00Z</dcterms:created>
  <dcterms:modified xsi:type="dcterms:W3CDTF">2025-02-25T12:42:00Z</dcterms:modified>
  <dc:language>ru-RU</dc:language>
</cp:coreProperties>
</file>