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 xml:space="preserve">Сообщение о существенном факте</w:t>
        <w:br/>
        <w:t xml:space="preserve">«</w:t>
      </w:r>
      <w:r>
        <w:rPr>
          <w:b/>
          <w:color w:val="000000"/>
        </w:rPr>
        <w:t xml:space="preserve">Об отдельных решениях, принятых советом директоров эмитента»</w:t>
      </w:r>
      <w:r/>
    </w:p>
    <w:p>
      <w:pPr>
        <w:ind w:left="-284"/>
        <w:jc w:val="center"/>
        <w:rPr>
          <w:b/>
          <w:bCs/>
          <w:color w:val="000000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  <w:r/>
    </w:p>
    <w:tbl>
      <w:tblPr>
        <w:tblW w:w="10348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5246"/>
        <w:gridCol w:w="5101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7" w:type="dxa"/>
            <w:textDirection w:val="lrTb"/>
            <w:noWrap w:val="false"/>
          </w:tcPr>
          <w:p>
            <w:pPr>
              <w:pStyle w:val="874"/>
              <w:ind w:left="-61"/>
              <w:jc w:val="center"/>
            </w:pPr>
            <w:r>
              <w:t xml:space="preserve">1. Общие сведения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874"/>
              <w:jc w:val="both"/>
              <w:rPr>
                <w:b/>
                <w:bCs/>
              </w:rPr>
            </w:pPr>
            <w: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/>
          </w:p>
          <w:p>
            <w:pPr>
              <w:pStyle w:val="874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74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874"/>
              <w:jc w:val="both"/>
              <w:rPr>
                <w:b/>
                <w:bCs/>
              </w:rPr>
            </w:pPr>
            <w:r>
              <w:t xml:space="preserve">1.2. Адрес эмитента, указанный в едином государственном реестре юридических лиц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74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196605, г. Санкт-Петербург, вн.тер.г. поселок Шушары, ш Петербургское, д. 66, к. 1, литера А, этаж 7, помещ. 36-Н, каб. 701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874"/>
              <w:jc w:val="both"/>
            </w:pPr>
            <w:r>
              <w:t xml:space="preserve">1.3. Основной государственный регистрационный номер (ОГРН) эмитента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74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1052600002180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874"/>
              <w:jc w:val="both"/>
            </w:pPr>
            <w:r>
              <w:t xml:space="preserve">1.4. Идентификационный номер налогоплательщика (ИНН) эмитента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74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2607018122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874"/>
              <w:jc w:val="both"/>
            </w:pPr>
            <w:r>
              <w:t xml:space="preserve">1.5. Уникальный код эмитента, присвоенный Банком России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74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65105-D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874"/>
            </w:pPr>
            <w:r>
              <w:t xml:space="preserve">1.6. Адрес страницы в сети Интернет, используемой эмитентом для раскрытия информации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74"/>
              <w:ind w:right="57"/>
            </w:pPr>
            <w:r/>
            <w:hyperlink r:id="rId13" w:tooltip="https://www.ogk2.ru/" w:history="1">
              <w:r>
                <w:rPr>
                  <w:rStyle w:val="878"/>
                  <w:rFonts w:eastAsia="Times New Roman" w:cs="Times New Roman"/>
                  <w:sz w:val="20"/>
                  <w:szCs w:val="20"/>
                  <w:lang w:eastAsia="ru-RU"/>
                </w:rPr>
                <w:t xml:space="preserve">https://www.ogk2.ru</w:t>
              </w:r>
            </w:hyperlink>
            <w:r/>
            <w:r/>
          </w:p>
          <w:p>
            <w:pPr>
              <w:pStyle w:val="874"/>
              <w:ind w:right="85"/>
            </w:pPr>
            <w:r/>
            <w:hyperlink r:id="rId14" w:tooltip="https://www.e-disclosure.ru/portal/company.aspx?id=7234" w:history="1">
              <w:r>
                <w:rPr>
                  <w:rStyle w:val="878"/>
                  <w:rFonts w:eastAsia="Times New Roman" w:cs="Times New Roman"/>
                  <w:sz w:val="20"/>
                  <w:szCs w:val="20"/>
                  <w:lang w:eastAsia="ru-RU"/>
                </w:rPr>
                <w:t xml:space="preserve">https://www.e-disclosure.ru/portal/company.aspx?id=7234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6" w:type="dxa"/>
            <w:textDirection w:val="lrTb"/>
            <w:noWrap w:val="false"/>
          </w:tcPr>
          <w:p>
            <w:pPr>
              <w:pStyle w:val="874"/>
              <w:jc w:val="both"/>
            </w:pPr>
            <w:r>
              <w:t xml:space="preserve">1.7. Дата наступления события (существенного факта), о котором составлено сообщение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74"/>
              <w:ind w:left="40" w:right="85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30.11.2023</w:t>
            </w:r>
            <w:r/>
          </w:p>
        </w:tc>
      </w:tr>
    </w:tbl>
    <w:p>
      <w:pPr>
        <w:pStyle w:val="874"/>
      </w:pPr>
      <w:r/>
      <w:r/>
    </w:p>
    <w:tbl>
      <w:tblPr>
        <w:tblW w:w="10348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t xml:space="preserve">2. Содержание сообщения</w:t>
            </w:r>
            <w:r/>
          </w:p>
        </w:tc>
      </w:tr>
      <w:tr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pStyle w:val="874"/>
              <w:jc w:val="both"/>
              <w:rPr>
                <w:rFonts w:eastAsia="Calibri" w:eastAsiaTheme="minorHAnsi"/>
                <w:lang w:eastAsia="en-US"/>
              </w:rPr>
            </w:pPr>
            <w:r>
              <w:t xml:space="preserve">2.1. </w:t>
            </w:r>
            <w:r>
              <w:rPr>
                <w:rFonts w:eastAsia="Calibri" w:eastAsiaTheme="minorHAnsi"/>
                <w:lang w:eastAsia="en-US"/>
              </w:rPr>
              <w:t xml:space="preserve">Сведения о кворуме заседания Совета директоров эмитента:</w:t>
            </w:r>
            <w:r/>
          </w:p>
          <w:p>
            <w:pPr>
              <w:pStyle w:val="874"/>
              <w:ind w:right="57"/>
            </w:pPr>
            <w:r>
              <w:rPr>
                <w:b/>
              </w:rPr>
              <w:t xml:space="preserve">В заочном голосовании приняли участие 10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t xml:space="preserve">.</w:t>
            </w:r>
            <w:r/>
          </w:p>
          <w:p>
            <w:pPr>
              <w:pStyle w:val="874"/>
              <w:ind w:left="-28" w:right="57"/>
              <w:jc w:val="both"/>
              <w:tabs>
                <w:tab w:val="left" w:pos="547" w:leader="none"/>
                <w:tab w:val="clear" w:pos="708" w:leader="none"/>
              </w:tabs>
            </w:pPr>
            <w:r>
              <w:t xml:space="preserve">2.2. Содержание решений, принятых советом директоров эмитента:</w:t>
            </w:r>
            <w:r/>
          </w:p>
          <w:p>
            <w:pPr>
              <w:pStyle w:val="874"/>
              <w:ind w:left="121" w:right="57"/>
              <w:jc w:val="both"/>
              <w:tabs>
                <w:tab w:val="left" w:pos="547" w:leader="none"/>
                <w:tab w:val="clear" w:pos="708" w:leader="none"/>
              </w:tabs>
            </w:pPr>
            <w:r/>
            <w:r/>
          </w:p>
          <w:p>
            <w:pPr>
              <w:pStyle w:val="888"/>
              <w:widowControl w:val="off"/>
              <w:rPr>
                <w:b/>
              </w:rPr>
            </w:pPr>
            <w:r>
              <w:rPr>
                <w:b/>
              </w:rPr>
              <w:t xml:space="preserve">Вопрос: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1</w:t>
            </w:r>
            <w:r>
              <w:rPr>
                <w:b/>
              </w:rPr>
              <w:t xml:space="preserve">.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Об определении закупочной политики в Обществе.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/>
          </w:p>
          <w:p>
            <w:pPr>
              <w:pStyle w:val="874"/>
              <w:jc w:val="both"/>
              <w:spacing w:before="20" w:after="20"/>
            </w:pPr>
            <w:r>
              <w:t xml:space="preserve">1.1. О внесении изменений в Годовую комплексную программу закупок Общества под нужды 2024 года.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/>
          </w:p>
          <w:p>
            <w:pPr>
              <w:pStyle w:val="874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</w:pPr>
            <w:r>
              <w:t xml:space="preserve">Результаты голосования: За – </w:t>
            </w:r>
            <w:r>
              <w:t xml:space="preserve">9,  Против – 0, Воздержался – </w:t>
            </w:r>
            <w:r>
              <w:t xml:space="preserve">1, не учитывались при голосовании – 0.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/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Утвердить корректировку Годовой комплексной программы закупок Общества под нужды 202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года в соответствии с Приложением № 1 к решению Совета директоров.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/>
          </w:p>
          <w:p>
            <w:pPr>
              <w:pStyle w:val="874"/>
              <w:jc w:val="both"/>
              <w:spacing w:before="20" w:after="20"/>
            </w:pPr>
            <w:r>
              <w:t xml:space="preserve">1.</w:t>
            </w:r>
            <w:r>
              <w:t xml:space="preserve">2</w:t>
            </w:r>
            <w:r>
              <w:t xml:space="preserve">. О внесении изменений в Годовую комплексную программу закупок Общества под нужды 202</w:t>
            </w:r>
            <w:r>
              <w:t xml:space="preserve">3</w:t>
            </w:r>
            <w:r>
              <w:t xml:space="preserve"> года.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/>
          </w:p>
          <w:p>
            <w:pPr>
              <w:pStyle w:val="874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</w:pPr>
            <w:r>
              <w:t xml:space="preserve">Результаты голосования: За – </w:t>
            </w:r>
            <w:r>
              <w:t xml:space="preserve">9, Против – 0, Воздержался – </w:t>
            </w:r>
            <w:r>
              <w:t xml:space="preserve">1, не учитывались при голосовании – 0.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/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Утвердить корректировку Годовой комплексной программы закупок Общества под нужды 202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3 года в соответствии с Приложением № 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2.1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к решению Совета директоров.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. Об определении приоритетных направлений деятельности Общества. 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  <w:r/>
          </w:p>
          <w:p>
            <w:pPr>
              <w:pStyle w:val="898"/>
              <w:spacing w:before="20" w:after="20"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2.1. Об утверждении скорректированного Плана мероприятий по повышению операционной эффективности и оптимизации расходов ПАО «ОГК-2» на 2023 год</w:t>
            </w:r>
            <w:r>
              <w:t xml:space="preserve">.</w:t>
            </w:r>
            <w:r/>
          </w:p>
          <w:p>
            <w:pPr>
              <w:pStyle w:val="898"/>
              <w:spacing w:before="20" w:after="20"/>
            </w:pPr>
            <w:r/>
            <w:r/>
          </w:p>
          <w:p>
            <w:pPr>
              <w:pStyle w:val="874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bCs/>
              </w:rPr>
            </w:pPr>
            <w:r>
              <w:rPr>
                <w:bCs/>
              </w:rPr>
              <w:t xml:space="preserve">Результаты голосования: За – 10, Против – 0, Воздержался – 0, не учитывались при голосовании – 0.</w:t>
            </w:r>
            <w:r/>
          </w:p>
          <w:p>
            <w:pPr>
              <w:pStyle w:val="874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</w:pPr>
            <w:r/>
            <w:r/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color w:val="auto"/>
                <w:sz w:val="20"/>
                <w:szCs w:val="20"/>
                <w:highlight w:val="none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1. Утвердить скорректированный План мероприятий по повышению операционной эффективности и оптимизации расходов ПАО «ОГК-2» на 2023 год, в соответствии с Приложением № 2.1. к решению Совета директоров.</w:t>
            </w:r>
            <w:r/>
          </w:p>
          <w:p>
            <w:pPr>
              <w:pStyle w:val="898"/>
              <w:spacing w:before="20" w:after="2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highlight w:val="none"/>
                <w:lang w:val="ru-RU" w:eastAsia="ru-RU" w:bidi="ar-SA"/>
              </w:rPr>
              <w:t xml:space="preserve">2. </w:t>
            </w:r>
            <w:r>
              <w:rPr>
                <w:sz w:val="20"/>
                <w:szCs w:val="20"/>
              </w:rPr>
              <w:t xml:space="preserve">Утвердить скорректированные поквартальные показатели Плана мероприятий по повышению операционной эффективности и оптимизации расходов ПАО «ОГК-2» на 2023 год в соответствии с Приложением № 2.2. к решению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Совета директоров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98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highlight w:val="none"/>
                <w:lang w:val="ru-RU" w:eastAsia="ru-RU" w:bidi="ar-SA"/>
              </w:rPr>
            </w:r>
            <w:r>
              <w:rPr>
                <w:rFonts w:eastAsia="Times New Roman" w:cs="Times New Roman"/>
                <w:color w:val="auto"/>
                <w:sz w:val="20"/>
                <w:szCs w:val="20"/>
                <w:highlight w:val="none"/>
                <w:lang w:val="ru-RU" w:eastAsia="ru-RU" w:bidi="ar-SA"/>
              </w:rPr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. Об утверждении внутренних документов Общества:</w:t>
            </w:r>
            <w:r/>
          </w:p>
          <w:p>
            <w:pPr>
              <w:pStyle w:val="898"/>
              <w:numPr>
                <w:ilvl w:val="0"/>
                <w:numId w:val="2"/>
              </w:numPr>
              <w:ind w:left="0" w:firstLine="0"/>
              <w:spacing w:before="20" w:after="2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-        Об утверждении Политики внутреннего аудита ПАО «ОГК-2» в новой редакции.</w:t>
            </w:r>
            <w:r/>
          </w:p>
          <w:p>
            <w:pPr>
              <w:pStyle w:val="898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-        Об утверждении Положения об Управлении внутреннего аудита ПАО «ОГК-2» в новой редакции.</w:t>
            </w:r>
            <w:r/>
          </w:p>
          <w:p>
            <w:pPr>
              <w:pStyle w:val="874"/>
              <w:spacing w:before="20" w:after="2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74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  <w:rPr>
                <w:bCs/>
              </w:rPr>
            </w:pPr>
            <w:r>
              <w:rPr>
                <w:bCs/>
              </w:rPr>
              <w:t xml:space="preserve">Результаты голосования: За – 10, Против – 0, Воздержался – 0, не учитывались при голосовании – 0.</w:t>
            </w:r>
            <w:r/>
          </w:p>
          <w:p>
            <w:pPr>
              <w:pStyle w:val="874"/>
              <w:jc w:val="both"/>
              <w:shd w:val="clear" w:color="auto" w:fill="ffffff"/>
              <w:widowControl w:val="off"/>
              <w:tabs>
                <w:tab w:val="left" w:pos="426" w:leader="none"/>
                <w:tab w:val="clear" w:pos="708" w:leader="none"/>
                <w:tab w:val="left" w:pos="851" w:leader="none"/>
              </w:tabs>
            </w:pPr>
            <w:r/>
            <w:r/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  <w:t xml:space="preserve">Принятое решение:</w:t>
            </w:r>
            <w:r/>
          </w:p>
          <w:p>
            <w:pPr>
              <w:pStyle w:val="898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1. Утвердить Политику внутреннего аудита ПАО «ОГК-2» в новой редакции согласно Приложению № 4.1. к решению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Совета директоров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;</w:t>
            </w:r>
            <w:r/>
          </w:p>
          <w:p>
            <w:pPr>
              <w:pStyle w:val="898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2. Утвердить Положение об Управлении внутреннего аудита ПАО «ОГК-2» в новой редакции согласно Приложению  № 4.2. к решению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Совета директоров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.</w:t>
            </w:r>
            <w:r/>
          </w:p>
          <w:p>
            <w:pPr>
              <w:pStyle w:val="874"/>
              <w:jc w:val="both"/>
              <w:spacing w:before="20" w:after="2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74"/>
              <w:ind w:right="57" w:firstLine="2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30</w:t>
            </w:r>
            <w:r>
              <w:rPr>
                <w:b/>
                <w:color w:val="000000"/>
              </w:rPr>
              <w:t xml:space="preserve">.</w:t>
            </w:r>
            <w:r>
              <w:rPr>
                <w:b/>
                <w:color w:val="000000"/>
              </w:rPr>
              <w:t xml:space="preserve">11</w:t>
            </w:r>
            <w:r>
              <w:rPr>
                <w:b/>
                <w:color w:val="000000"/>
              </w:rPr>
              <w:t xml:space="preserve">.2023.</w:t>
            </w:r>
            <w:r/>
          </w:p>
          <w:p>
            <w:pPr>
              <w:pStyle w:val="874"/>
              <w:ind w:right="57" w:firstLine="21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 xml:space="preserve">Протокол от </w:t>
            </w:r>
            <w:r>
              <w:rPr>
                <w:b/>
              </w:rPr>
              <w:t xml:space="preserve">30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11</w:t>
            </w:r>
            <w:r>
              <w:rPr>
                <w:b/>
              </w:rPr>
              <w:t xml:space="preserve">.2023 № 310.</w:t>
            </w:r>
            <w:r/>
          </w:p>
        </w:tc>
      </w:tr>
    </w:tbl>
    <w:p>
      <w:pPr>
        <w:pStyle w:val="874"/>
      </w:pPr>
      <w:r/>
      <w:r/>
    </w:p>
    <w:tbl>
      <w:tblPr>
        <w:tblW w:w="10307" w:type="dxa"/>
        <w:tblInd w:w="-147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28"/>
        <w:gridCol w:w="607"/>
        <w:gridCol w:w="294"/>
        <w:gridCol w:w="1318"/>
        <w:gridCol w:w="414"/>
        <w:gridCol w:w="309"/>
        <w:gridCol w:w="1525"/>
        <w:gridCol w:w="1341"/>
        <w:gridCol w:w="462"/>
        <w:gridCol w:w="2310"/>
        <w:gridCol w:w="98"/>
      </w:tblGrid>
      <w:tr>
        <w:trPr>
          <w:cantSplit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6" w:type="dxa"/>
            <w:textDirection w:val="lrTb"/>
            <w:noWrap w:val="false"/>
          </w:tcPr>
          <w:p>
            <w:pPr>
              <w:pStyle w:val="874"/>
              <w:ind w:left="-61" w:firstLine="33"/>
              <w:jc w:val="center"/>
            </w:pPr>
            <w:r>
              <w:t xml:space="preserve">3. Подпись</w:t>
            </w:r>
            <w:r/>
          </w:p>
        </w:tc>
      </w:tr>
      <w:tr>
        <w:trPr>
          <w:cantSplit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6095" w:type="dxa"/>
            <w:vAlign w:val="bottom"/>
            <w:textDirection w:val="lrTb"/>
            <w:noWrap w:val="false"/>
          </w:tcPr>
          <w:p>
            <w:pPr>
              <w:pStyle w:val="874"/>
              <w:ind w:left="57"/>
              <w:rPr>
                <w:b/>
              </w:rPr>
            </w:pPr>
            <w:r>
              <w:rPr>
                <w:b/>
              </w:rPr>
              <w:t xml:space="preserve">3.1.</w:t>
            </w:r>
            <w:r>
              <w:rPr>
                <w:szCs w:val="22"/>
              </w:rPr>
              <w:t xml:space="preserve"> </w:t>
            </w:r>
            <w:r>
              <w:rPr>
                <w:b/>
              </w:rPr>
              <w:t xml:space="preserve">Заместитель управляющего директора</w:t>
            </w:r>
            <w:r/>
          </w:p>
          <w:p>
            <w:pPr>
              <w:pStyle w:val="874"/>
              <w:ind w:left="57"/>
              <w:rPr>
                <w:b/>
              </w:rPr>
            </w:pPr>
            <w:r>
              <w:rPr>
                <w:b/>
              </w:rPr>
              <w:t xml:space="preserve">по корпоративным и правовым вопросам, действующий на основании доверенности № 77/299-н/77-2022-1-1027 от 25.03.2022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803" w:type="dxa"/>
            <w:vAlign w:val="bottom"/>
            <w:textDirection w:val="lrTb"/>
            <w:noWrap w:val="false"/>
          </w:tcPr>
          <w:p>
            <w:pPr>
              <w:pStyle w:val="874"/>
              <w:rPr>
                <w:b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310" w:type="dxa"/>
            <w:vAlign w:val="bottom"/>
            <w:textDirection w:val="lrTb"/>
            <w:noWrap w:val="false"/>
          </w:tcPr>
          <w:p>
            <w:pPr>
              <w:pStyle w:val="874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 xml:space="preserve">М.А. Чалый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98" w:type="dxa"/>
            <w:vAlign w:val="bottom"/>
            <w:textDirection w:val="lrTb"/>
            <w:noWrap w:val="false"/>
          </w:tcPr>
          <w:p>
            <w:pPr>
              <w:pStyle w:val="874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trHeight w:val="280" w:hRule="exact"/>
        </w:trPr>
        <w:tc>
          <w:tcPr>
            <w:gridSpan w:val="7"/>
            <w:tcBorders>
              <w:lef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  <w:tc>
          <w:tcPr>
            <w:gridSpan w:val="2"/>
            <w:tcW w:w="1803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t xml:space="preserve">(подпись)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  <w:tc>
          <w:tcPr>
            <w:tcBorders>
              <w:right w:val="single" w:color="000000" w:sz="4" w:space="0"/>
            </w:tcBorders>
            <w:tcW w:w="98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rPr>
          <w:cantSplit/>
          <w:trHeight w:val="6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628" w:type="dxa"/>
            <w:vAlign w:val="bottom"/>
            <w:textDirection w:val="lrTb"/>
            <w:noWrap w:val="false"/>
          </w:tcPr>
          <w:p>
            <w:pPr>
              <w:pStyle w:val="874"/>
              <w:ind w:left="57"/>
              <w:tabs>
                <w:tab w:val="clear" w:pos="708" w:leader="none"/>
                <w:tab w:val="left" w:pos="893" w:leader="none"/>
                <w:tab w:val="left" w:pos="1532" w:leader="none"/>
              </w:tabs>
            </w:pPr>
            <w:r>
              <w:t xml:space="preserve">3.2. Дата</w:t>
            </w:r>
            <w:r/>
          </w:p>
        </w:tc>
        <w:tc>
          <w:tcPr>
            <w:tcBorders>
              <w:bottom w:val="single" w:color="000000" w:sz="4" w:space="0"/>
            </w:tcBorders>
            <w:tcW w:w="607" w:type="dxa"/>
            <w:vAlign w:val="bottom"/>
            <w:textDirection w:val="lrTb"/>
            <w:noWrap w:val="false"/>
          </w:tcPr>
          <w:p>
            <w:pPr>
              <w:pStyle w:val="874"/>
            </w:pPr>
            <w:r>
              <w:t xml:space="preserve">«01</w:t>
            </w:r>
            <w:r>
              <w:t xml:space="preserve">»</w:t>
            </w:r>
            <w:r/>
          </w:p>
        </w:tc>
        <w:tc>
          <w:tcPr>
            <w:tcBorders>
              <w:bottom w:val="single" w:color="000000" w:sz="4" w:space="0"/>
            </w:tcBorders>
            <w:tcW w:w="294" w:type="dxa"/>
            <w:vAlign w:val="bottom"/>
            <w:textDirection w:val="lrTb"/>
            <w:noWrap w:val="false"/>
          </w:tcPr>
          <w:p>
            <w:pPr>
              <w:pStyle w:val="874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318" w:type="dxa"/>
            <w:vAlign w:val="bottom"/>
            <w:textDirection w:val="lrTb"/>
            <w:noWrap w:val="false"/>
          </w:tcPr>
          <w:p>
            <w:pPr>
              <w:pStyle w:val="874"/>
            </w:pPr>
            <w:r>
              <w:t xml:space="preserve">декабря</w:t>
            </w:r>
            <w:r/>
          </w:p>
        </w:tc>
        <w:tc>
          <w:tcPr>
            <w:tcBorders>
              <w:bottom w:val="single" w:color="000000" w:sz="4" w:space="0"/>
            </w:tcBorders>
            <w:tcW w:w="414" w:type="dxa"/>
            <w:vAlign w:val="bottom"/>
            <w:textDirection w:val="lrTb"/>
            <w:noWrap w:val="false"/>
          </w:tcPr>
          <w:p>
            <w:pPr>
              <w:pStyle w:val="874"/>
              <w:jc w:val="center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09" w:type="dxa"/>
            <w:vAlign w:val="bottom"/>
            <w:textDirection w:val="lrTb"/>
            <w:noWrap w:val="false"/>
          </w:tcPr>
          <w:p>
            <w:pPr>
              <w:pStyle w:val="874"/>
            </w:pPr>
            <w:r>
              <w:t xml:space="preserve">23</w:t>
            </w:r>
            <w:r/>
          </w:p>
        </w:tc>
        <w:tc>
          <w:tcPr>
            <w:tcBorders>
              <w:bottom w:val="single" w:color="000000" w:sz="4" w:space="0"/>
            </w:tcBorders>
            <w:tcW w:w="1525" w:type="dxa"/>
            <w:vAlign w:val="bottom"/>
            <w:textDirection w:val="lrTb"/>
            <w:noWrap w:val="false"/>
          </w:tcPr>
          <w:p>
            <w:pPr>
              <w:pStyle w:val="874"/>
              <w:ind w:left="57"/>
            </w:pPr>
            <w:r>
              <w:t xml:space="preserve">г.</w:t>
            </w:r>
            <w:r/>
          </w:p>
        </w:tc>
        <w:tc>
          <w:tcPr>
            <w:tcBorders>
              <w:bottom w:val="single" w:color="000000" w:sz="4" w:space="0"/>
            </w:tcBorders>
            <w:tcW w:w="1341" w:type="dxa"/>
            <w:vAlign w:val="bottom"/>
            <w:textDirection w:val="lrTb"/>
            <w:noWrap w:val="false"/>
          </w:tcPr>
          <w:p>
            <w:pPr>
              <w:pStyle w:val="874"/>
              <w:jc w:val="center"/>
            </w:pPr>
            <w:r/>
            <w:r/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2870" w:type="dxa"/>
            <w:vAlign w:val="bottom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</w:tbl>
    <w:p>
      <w:pPr>
        <w:pStyle w:val="874"/>
        <w:tabs>
          <w:tab w:val="clear" w:pos="708" w:leader="none"/>
          <w:tab w:val="left" w:pos="2895" w:leader="none"/>
        </w:tabs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440" w:right="1440" w:bottom="1440" w:left="1440" w:header="284" w:footer="284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WenQuanYi Micro Hei">
    <w:panose1 w:val="020B060603080402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93"/>
                            <w:rPr>
                              <w:rStyle w:val="877"/>
                            </w:rPr>
                          </w:pPr>
                          <w:r>
                            <w:rPr>
                              <w:rStyle w:val="877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</w:rPr>
                            <w:t xml:space="preserve">0</w:t>
                          </w:r>
                          <w:r>
                            <w:rPr>
                              <w:rStyle w:val="877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pt;mso-position-vertical:absolute;width:1.1pt;height:1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93"/>
                      <w:rPr>
                        <w:rStyle w:val="877"/>
                      </w:rPr>
                    </w:pPr>
                    <w:r>
                      <w:rPr>
                        <w:rStyle w:val="877"/>
                      </w:rPr>
                      <w:fldChar w:fldCharType="begin"/>
                    </w:r>
                    <w:r>
                      <w:rPr>
                        <w:rStyle w:val="877"/>
                      </w:rPr>
                      <w:instrText xml:space="preserve"> PAGE </w:instrText>
                    </w:r>
                    <w:r>
                      <w:rPr>
                        <w:rStyle w:val="877"/>
                      </w:rPr>
                      <w:fldChar w:fldCharType="separate"/>
                    </w:r>
                    <w:r>
                      <w:rPr>
                        <w:rStyle w:val="877"/>
                      </w:rPr>
                      <w:t xml:space="preserve">0</w:t>
                    </w:r>
                    <w:r>
                      <w:rPr>
                        <w:rStyle w:val="877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4"/>
    <w:next w:val="874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5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4"/>
    <w:next w:val="874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5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5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5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5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5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4"/>
    <w:next w:val="874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5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4"/>
    <w:next w:val="874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5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874"/>
    <w:next w:val="874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5"/>
    <w:link w:val="721"/>
    <w:uiPriority w:val="10"/>
    <w:rPr>
      <w:sz w:val="48"/>
      <w:szCs w:val="48"/>
    </w:rPr>
  </w:style>
  <w:style w:type="paragraph" w:styleId="723">
    <w:name w:val="Subtitle"/>
    <w:basedOn w:val="874"/>
    <w:next w:val="874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5"/>
    <w:link w:val="723"/>
    <w:uiPriority w:val="11"/>
    <w:rPr>
      <w:sz w:val="24"/>
      <w:szCs w:val="24"/>
    </w:rPr>
  </w:style>
  <w:style w:type="paragraph" w:styleId="725">
    <w:name w:val="Quote"/>
    <w:basedOn w:val="874"/>
    <w:next w:val="874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4"/>
    <w:next w:val="874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5"/>
    <w:link w:val="893"/>
    <w:uiPriority w:val="99"/>
  </w:style>
  <w:style w:type="character" w:styleId="730">
    <w:name w:val="Footer Char"/>
    <w:basedOn w:val="875"/>
    <w:link w:val="894"/>
    <w:uiPriority w:val="99"/>
  </w:style>
  <w:style w:type="character" w:styleId="731">
    <w:name w:val="Caption Char"/>
    <w:basedOn w:val="890"/>
    <w:link w:val="894"/>
    <w:uiPriority w:val="99"/>
  </w:style>
  <w:style w:type="table" w:styleId="732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character" w:styleId="875" w:default="1">
    <w:name w:val="Default Paragraph Font"/>
    <w:uiPriority w:val="1"/>
    <w:semiHidden/>
    <w:unhideWhenUsed/>
    <w:qFormat/>
  </w:style>
  <w:style w:type="character" w:styleId="876" w:customStyle="1">
    <w:name w:val="Верхний колонтитул Знак"/>
    <w:basedOn w:val="875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7">
    <w:name w:val="page number"/>
    <w:basedOn w:val="875"/>
    <w:qFormat/>
  </w:style>
  <w:style w:type="character" w:styleId="878">
    <w:name w:val="Hyperlink"/>
    <w:rPr>
      <w:color w:val="0000ff"/>
      <w:u w:val="single"/>
    </w:rPr>
  </w:style>
  <w:style w:type="character" w:styleId="879" w:customStyle="1">
    <w:name w:val="Основной текст Знак"/>
    <w:basedOn w:val="875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0" w:customStyle="1">
    <w:name w:val="Нижний колонтитул Знак"/>
    <w:basedOn w:val="87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1" w:customStyle="1">
    <w:name w:val="Текст выноски Знак"/>
    <w:basedOn w:val="875"/>
    <w:link w:val="895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82" w:customStyle="1">
    <w:name w:val="Абзац списка Знак"/>
    <w:link w:val="896"/>
    <w:uiPriority w:val="34"/>
    <w:qFormat/>
    <w:rPr>
      <w:rFonts w:ascii="Calibri" w:hAnsi="Calibri" w:eastAsia="Calibri" w:cs="Times New Roman"/>
    </w:rPr>
  </w:style>
  <w:style w:type="character" w:styleId="883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884">
    <w:name w:val="Subtle Emphasis"/>
    <w:basedOn w:val="875"/>
    <w:uiPriority w:val="19"/>
    <w:qFormat/>
    <w:rPr>
      <w:i/>
      <w:iCs/>
      <w:color w:val="404040" w:themeColor="text1" w:themeTint="BF"/>
    </w:rPr>
  </w:style>
  <w:style w:type="character" w:styleId="885">
    <w:name w:val="Strong"/>
    <w:basedOn w:val="875"/>
    <w:uiPriority w:val="22"/>
    <w:qFormat/>
    <w:rPr>
      <w:b/>
      <w:bCs/>
    </w:rPr>
  </w:style>
  <w:style w:type="character" w:styleId="886" w:customStyle="1">
    <w:name w:val="Subst"/>
    <w:uiPriority w:val="99"/>
    <w:qFormat/>
    <w:rPr>
      <w:b/>
      <w:i/>
    </w:rPr>
  </w:style>
  <w:style w:type="paragraph" w:styleId="887">
    <w:name w:val="Заголовок"/>
    <w:basedOn w:val="874"/>
    <w:next w:val="888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88">
    <w:name w:val="Body Text"/>
    <w:basedOn w:val="874"/>
    <w:link w:val="879"/>
    <w:pPr>
      <w:spacing w:before="0" w:after="120"/>
    </w:pPr>
  </w:style>
  <w:style w:type="paragraph" w:styleId="889">
    <w:name w:val="List"/>
    <w:basedOn w:val="888"/>
    <w:rPr>
      <w:rFonts w:cs="Lohit Devanagari"/>
    </w:rPr>
  </w:style>
  <w:style w:type="paragraph" w:styleId="890">
    <w:name w:val="Caption"/>
    <w:basedOn w:val="87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1">
    <w:name w:val="Указатель"/>
    <w:basedOn w:val="874"/>
    <w:qFormat/>
    <w:pPr>
      <w:suppressLineNumbers/>
    </w:pPr>
    <w:rPr>
      <w:rFonts w:cs="Lohit Devanagari"/>
    </w:rPr>
  </w:style>
  <w:style w:type="paragraph" w:styleId="892">
    <w:name w:val="Колонтитул"/>
    <w:basedOn w:val="874"/>
    <w:qFormat/>
  </w:style>
  <w:style w:type="paragraph" w:styleId="893">
    <w:name w:val="Header"/>
    <w:basedOn w:val="874"/>
    <w:link w:val="876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894">
    <w:name w:val="Footer"/>
    <w:basedOn w:val="874"/>
    <w:link w:val="880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95">
    <w:name w:val="Balloon Text"/>
    <w:basedOn w:val="874"/>
    <w:link w:val="88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96">
    <w:name w:val="List Paragraph"/>
    <w:basedOn w:val="874"/>
    <w:link w:val="882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7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98" w:customStyle="1">
    <w:name w:val="Абзац 3"/>
    <w:basedOn w:val="874"/>
    <w:qFormat/>
    <w:pPr>
      <w:jc w:val="both"/>
    </w:pPr>
    <w:rPr>
      <w:rFonts w:eastAsiaTheme="minorEastAsia" w:cstheme="minorBidi"/>
      <w:sz w:val="24"/>
      <w:szCs w:val="22"/>
    </w:rPr>
  </w:style>
  <w:style w:type="paragraph" w:styleId="899">
    <w:name w:val="Содержимое врезки"/>
    <w:basedOn w:val="874"/>
    <w:qFormat/>
  </w:style>
  <w:style w:type="numbering" w:styleId="900" w:default="1">
    <w:name w:val="No List"/>
    <w:uiPriority w:val="99"/>
    <w:semiHidden/>
    <w:unhideWhenUsed/>
    <w:qFormat/>
  </w:style>
  <w:style w:type="table" w:styleId="90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"/>
    <w:basedOn w:val="9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www.ogk2.ru/" TargetMode="External"/><Relationship Id="rId14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dc:description/>
  <dc:language>ru-RU</dc:language>
  <cp:revision>335</cp:revision>
  <dcterms:created xsi:type="dcterms:W3CDTF">2020-02-27T13:07:00Z</dcterms:created>
  <dcterms:modified xsi:type="dcterms:W3CDTF">2023-11-30T14:29:23Z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