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6"/>
        <w:gridCol w:w="5101"/>
      </w:tblGrid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20.12.2023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4" w:hRule="atLeast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121" w:right="57"/>
              <w:jc w:val="both"/>
              <w:rPr/>
            </w:pPr>
            <w:r>
              <w:rPr/>
            </w:r>
          </w:p>
          <w:p>
            <w:pPr>
              <w:pStyle w:val="BodyText"/>
              <w:widowControl w:val="false"/>
              <w:rPr>
                <w:b/>
              </w:rPr>
            </w:pPr>
            <w:r>
              <w:rPr>
                <w:b/>
              </w:rPr>
              <w:t>Вопрос: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Об определении закупочной политики в Обществе.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/>
              <w:t>1.1. О внесении изменений в Годовую комплексную программу закупок Общества под нужды 2023 года.</w:t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  <w:t>Результаты голосования: За – 10,  Против – 0, Воздержался – 1, не учитывались при голосовании – 0.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Утвердить корректировку Годовой комплексной программы закупок Общества под нужды 2023 года в соответствии с Приложением № 1.1. к решению Совета директоров.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/>
              <w:t>1.2. О внесении изменений в Годовую комплексную программу закупок Общества под нужды 2024 года.</w:t>
            </w:r>
          </w:p>
          <w:p>
            <w:pPr>
              <w:pStyle w:val="Normal"/>
              <w:spacing w:before="20" w:after="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  <w:t>Результаты голосования: За – 10,  Против – 0, Воздержался – 1, не учитывались при голосовании – 0.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Утвердить корректировку Годовой комплексной программы закупок Общества под нужды 2024 года в соответствии с Приложением № 1.2. к решению Совета директоров.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2. Об утверждении отчета управляющей организации об оказании услуг по договору о передаче полномочий единоличного исполнительного органа ПАО «ОГК-2».</w:t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16.07.2023 по 15.10.2023 (Приложение № 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2).</w:t>
            </w:r>
          </w:p>
          <w:p>
            <w:pPr>
              <w:pStyle w:val="4"/>
              <w:spacing w:before="20" w:after="2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/>
            </w:r>
          </w:p>
          <w:p>
            <w:pPr>
              <w:pStyle w:val="4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20.12.2023.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20.12.2023 № 312.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07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7"/>
        <w:gridCol w:w="294"/>
        <w:gridCol w:w="1318"/>
        <w:gridCol w:w="413"/>
        <w:gridCol w:w="310"/>
        <w:gridCol w:w="1525"/>
        <w:gridCol w:w="1341"/>
        <w:gridCol w:w="462"/>
        <w:gridCol w:w="2314"/>
        <w:gridCol w:w="94"/>
      </w:tblGrid>
      <w:tr>
        <w:trPr>
          <w:cantSplit w:val="true"/>
        </w:trPr>
        <w:tc>
          <w:tcPr>
            <w:tcW w:w="10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>Заместитель управляющего директора</w:t>
            </w:r>
          </w:p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231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М.А. Чалый</w:t>
            </w:r>
          </w:p>
        </w:tc>
        <w:tc>
          <w:tcPr>
            <w:tcW w:w="9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6095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23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«20»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декабря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7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440" w:right="1440" w:gutter="0" w:header="284" w:top="144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st" w:customStyle="1">
    <w:name w:val="Subst"/>
    <w:uiPriority w:val="99"/>
    <w:qFormat/>
    <w:rPr>
      <w:b/>
      <w:i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Абзац 3"/>
    <w:basedOn w:val="Normal"/>
    <w:qFormat/>
    <w:pPr>
      <w:jc w:val="both"/>
    </w:pPr>
    <w:rPr>
      <w:rFonts w:eastAsia="Arial" w:cs="Arial" w:cstheme="minorBidi" w:eastAsiaTheme="minorEastAsia"/>
      <w:sz w:val="24"/>
      <w:szCs w:val="22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LibreOffice/7.6.0.3$Linux_X86_64 LibreOffice_project/60$Build-3</Application>
  <AppVersion>15.0000</AppVersion>
  <Pages>2</Pages>
  <Words>395</Words>
  <Characters>2763</Characters>
  <CharactersWithSpaces>3134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2023-12-20T16:07:31Z</cp:lastPrinted>
  <dcterms:modified xsi:type="dcterms:W3CDTF">2023-12-20T16:07:22Z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