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 w:eastAsiaTheme="minorHAnsi"/>
          <w:b/>
          <w:lang w:eastAsia="en-US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rFonts w:eastAsia="Calibri" w:eastAsiaTheme="minorHAnsi"/>
          <w:b/>
          <w:lang w:eastAsia="en-US"/>
        </w:rPr>
        <w:t>О созыве и проведении общего собрания акционеров эмитента</w:t>
      </w:r>
      <w:r>
        <w:rPr>
          <w:b/>
          <w:color w:val="000000"/>
        </w:rPr>
        <w:t>»</w:t>
      </w:r>
    </w:p>
    <w:p>
      <w:pPr>
        <w:pStyle w:val="Normal"/>
        <w:ind w:lef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45"/>
        <w:gridCol w:w="5669"/>
      </w:tblGrid>
      <w:tr>
        <w:trPr/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13.05.2024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15"/>
      </w:tblGrid>
      <w:tr>
        <w:trPr/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554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Вид общего собрания участников (акционеров) эмитента (годовое (очередное), внеочередное)</w:t>
            </w:r>
            <w:r>
              <w:rPr>
                <w:bCs/>
              </w:rPr>
              <w:t xml:space="preserve">: </w:t>
            </w:r>
            <w:r>
              <w:rPr>
                <w:b/>
                <w:bCs/>
              </w:rPr>
              <w:t>годовое.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2.2. Форма проведения общего собрания участников (акционеров) эмитента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(собрание (совместное присутствие) или заочное голосование): </w:t>
            </w:r>
            <w:r>
              <w:rPr>
                <w:b/>
              </w:rPr>
              <w:t>заочное голосование</w:t>
            </w:r>
            <w:r>
              <w:rPr>
                <w:b/>
                <w:bCs/>
              </w:rPr>
              <w:t>.</w:t>
            </w:r>
          </w:p>
          <w:p>
            <w:pPr>
              <w:pStyle w:val="Normal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bCs/>
              </w:rPr>
              <w:t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57"/>
              <w:jc w:val="both"/>
              <w:outlineLvl w:val="3"/>
              <w:rPr>
                <w:color w:val="000000"/>
                <w:w w:val="100"/>
              </w:rPr>
            </w:pPr>
            <w:r>
              <w:rPr>
                <w:bCs/>
              </w:rPr>
              <w:t xml:space="preserve">дата проведения: </w:t>
            </w:r>
            <w:r>
              <w:rPr>
                <w:b/>
                <w:bCs/>
              </w:rPr>
              <w:t>18 июня 20</w:t>
            </w:r>
            <w:r>
              <w:rPr>
                <w:b/>
              </w:rPr>
              <w:t>24 года</w:t>
            </w:r>
            <w:r>
              <w:rPr>
                <w:rFonts w:eastAsia="SimSun"/>
                <w:b/>
                <w:w w:val="100"/>
                <w:lang w:eastAsia="en-US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57"/>
              <w:jc w:val="both"/>
              <w:outlineLvl w:val="3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 xml:space="preserve">место проведения: </w:t>
            </w:r>
            <w:r>
              <w:rPr>
                <w:b/>
              </w:rPr>
              <w:t>не применимо</w:t>
            </w:r>
            <w:r>
              <w:rPr>
                <w:b/>
                <w:color w:val="000000"/>
                <w:w w:val="100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57"/>
              <w:jc w:val="both"/>
              <w:outlineLvl w:val="3"/>
              <w:rPr>
                <w:b/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время проведения:</w:t>
            </w:r>
            <w:r>
              <w:rPr>
                <w:rFonts w:eastAsia="Calibri"/>
                <w:b/>
                <w:lang w:eastAsia="en-US"/>
              </w:rPr>
              <w:t xml:space="preserve"> не применимо;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center" w:pos="4677" w:leader="none"/>
                <w:tab w:val="right" w:pos="9355" w:leader="none"/>
              </w:tabs>
              <w:jc w:val="both"/>
              <w:rPr>
                <w:rFonts w:eastAsia="Calibri"/>
                <w:b/>
              </w:rPr>
            </w:pPr>
            <w:r>
              <w:rPr>
                <w:bCs/>
              </w:rPr>
              <w:t>почтовый адрес</w:t>
            </w:r>
            <w:r>
              <w:rPr/>
              <w:t xml:space="preserve"> для направления заполненных бюллетеней для голосования: </w:t>
            </w:r>
            <w:r>
              <w:rPr>
                <w:b/>
                <w:bCs/>
                <w:sz w:val="20"/>
                <w:szCs w:val="20"/>
              </w:rPr>
              <w:t>196605, г. Санкт-Петербург, вн.тер.г. поселок Шушары, ш. Петербургское, д.66, к. 1, литера А, ПАО «ОГК-2»</w:t>
            </w:r>
            <w:r>
              <w:rPr>
                <w:rFonts w:eastAsia="Calibri"/>
                <w:b/>
                <w:bCs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" w:leader="none"/>
                <w:tab w:val="left" w:pos="1276" w:leader="none"/>
              </w:tabs>
              <w:ind w:right="-2"/>
              <w:jc w:val="both"/>
              <w:rPr>
                <w:b/>
              </w:rPr>
            </w:pPr>
            <w:r>
              <w:rPr/>
              <w:t>адрес электронной почты для направления заполненных бюллетеней для голосования</w:t>
            </w:r>
            <w:r>
              <w:rPr>
                <w:b/>
              </w:rPr>
              <w:t>: не используется;</w:t>
            </w:r>
          </w:p>
          <w:p>
            <w:pPr>
              <w:pStyle w:val="Normal"/>
              <w:widowControl w:val="false"/>
              <w:jc w:val="both"/>
              <w:rPr>
                <w:bCs/>
                <w:spacing w:val="-4"/>
              </w:rPr>
            </w:pPr>
            <w:r>
              <w:rPr/>
              <w:t>адрес сайта в сети Интернет, на котором заполняются электронные формы бюллетеней для голосования: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электронная форма бюллетеней может быть заполнена на сайте регистратора www.draga.ru в информационно-телекоммуникационной сети Интернет в разделе Акционерам =&gt; Услуги =&gt; Участие в собрании акционеров =&gt; Заполнить электронную форму бюллетеня =&gt; Сервис «Личный кабинет акционера» (ПАО «ОГК-2»)  или по ссылке: https://draga.ru/akcioneram/uslugi/uchastie-v-sobranii-akcionerov/golosovanie/pao-ogk-2/  (для участия в электронном голосовании акционер ПАО «ОГК-2» должен получить доступ к сервису «Личный кабинет акционера». С порядком получения доступа можно ознакомиться на странице https://draga.ru/akcioneram/jelektronnye-servisy/lichnyj-kabinet-akcionera/).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8" w:leader="none"/>
                <w:tab w:val="left" w:pos="1276" w:leader="none"/>
              </w:tabs>
              <w:ind w:right="-2"/>
              <w:jc w:val="both"/>
              <w:rPr>
                <w:b/>
              </w:rPr>
            </w:pPr>
            <w:r>
              <w:rPr>
                <w:b/>
              </w:rPr>
              <w:t xml:space="preserve"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</w:t>
            </w:r>
            <w:r>
              <w:rPr>
                <w:b/>
                <w:bCs/>
                <w:spacing w:val="-4"/>
              </w:rPr>
              <w:t xml:space="preserve">годовом Общем собрании акционеров ПАО «ОГК-2» (далее – Собрание) </w:t>
            </w:r>
            <w:r>
              <w:rPr>
                <w:b/>
              </w:rPr>
              <w:t>и осуществить право голоса в порядке, установленном ст.8.9.    ФЗ «О рынке ценных бумаг», с помощью электронных средств через депозитарную систему учета.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57"/>
              <w:jc w:val="both"/>
              <w:outlineLvl w:val="3"/>
              <w:rPr>
                <w:b/>
                <w:color w:val="000000"/>
                <w:w w:val="100"/>
              </w:rPr>
            </w:pPr>
            <w:r>
              <w:rPr>
                <w:bCs/>
              </w:rPr>
              <w:t xml:space="preserve">2.4. Время начала регистрации лиц, принимающих участие в общем собрании участников (акционеров) эмитента: </w:t>
            </w:r>
            <w:r>
              <w:rPr>
                <w:rFonts w:eastAsia="Calibri"/>
                <w:b/>
                <w:lang w:eastAsia="en-US"/>
              </w:rPr>
              <w:t>не применимо. Ф</w:t>
            </w: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>орма проведения Собрания - заочное голосование.</w:t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Cs/>
              </w:rPr>
              <w:t>2.5.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Дата окончания приема бюллетеней для голосования (в случае проведения общего собрания в форме заочного голосования):</w:t>
            </w:r>
            <w:r>
              <w:rPr>
                <w:rFonts w:eastAsia="Calibri"/>
                <w:b/>
                <w:bCs/>
                <w:lang w:eastAsia="en-US"/>
              </w:rPr>
              <w:t xml:space="preserve"> 18</w:t>
            </w:r>
            <w:r>
              <w:rPr>
                <w:b/>
              </w:rPr>
              <w:t xml:space="preserve"> июня 2024 года.</w:t>
            </w:r>
          </w:p>
          <w:p>
            <w:pPr>
              <w:pStyle w:val="Normal"/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Принявшими участие в Собрании будут считаться акционеры, бюллетени которых получены или электронная форма бюллетеней которых заполнена не позднее 17 июня 2024 года,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17 июня 2024 года.</w:t>
            </w:r>
          </w:p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Calibri" w:eastAsiaTheme="minorHAnsi"/>
                <w:lang w:eastAsia="en-US"/>
              </w:rPr>
              <w:t>Дата, на которую определяются (фиксируются) лица, имеющие право на участие в общем собрании участников (акционеров) эмитента</w:t>
            </w:r>
            <w:r>
              <w:rPr>
                <w:bCs/>
              </w:rPr>
              <w:t xml:space="preserve">: </w:t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мая 2024 года.</w:t>
            </w:r>
          </w:p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bCs/>
              </w:rPr>
              <w:t xml:space="preserve">2.7. </w:t>
            </w:r>
            <w:r>
              <w:rPr>
                <w:rFonts w:eastAsia="Calibri" w:eastAsiaTheme="minorHAnsi"/>
                <w:lang w:eastAsia="en-US"/>
              </w:rPr>
              <w:t>Повестка дня общего собрания участников (акционеров) эмитента: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1)</w:t>
              <w:tab/>
              <w:t>Об утверждении годового отчета Общества, годовой бухгалтерской (финансовой) отчетности Общества за 2023 год.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2)</w:t>
              <w:tab/>
              <w:t>О распределении прибыли (в том числе выплата (объявление) дивидендов) и убытков Общества по результатам 2023 года.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3)</w:t>
              <w:tab/>
              <w:t>Об избрании членов Совета директоров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4)</w:t>
              <w:tab/>
              <w:t>Об утверждении Устава Общества в новой редакции.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5)</w:t>
              <w:tab/>
              <w:t>О назначении аудиторской организации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6)</w:t>
              <w:tab/>
              <w:t>О выплате членам Совета директоров Общества вознаграждений и компенсаций.</w:t>
            </w:r>
          </w:p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</w:t>
            </w:r>
            <w:r>
              <w:rPr>
                <w:rFonts w:eastAsia="Calibri"/>
                <w:b/>
                <w:lang w:eastAsia="en-US"/>
              </w:rPr>
              <w:t xml:space="preserve"> с информацией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(материалами) лица, имеющие право на участие в Собрании, могут ознакомиться в течение 20 дней до даты проведения Собрания по месту нахождения Генерального директора по адресу: 199106, г. Санкт-Петербург, вн. тер. г. муниципальный округ Гавань, ул. Шкиперский проток, д. 12, к. 2, стр. 1, этаж 7, помещ. 2273 и по адресу: г. Санкт-Петербург, вн.тер.г. поселок Шушары, ш. Петербургское, д.66, к. 1, литера А, ПАО «ОГК-2».</w:t>
            </w:r>
          </w:p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b/>
                <w:color w:val="000000"/>
              </w:rPr>
              <w:t>Указанная информация (материалы) также рассылается номинальным держателям акций в электронном виде  не позднее 28  мая 2024 года.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2.9. </w:t>
            </w:r>
            <w:r>
              <w:rPr>
                <w:rFonts w:eastAsia="Calibri" w:eastAsiaTheme="minorHAnsi"/>
                <w:lang w:eastAsia="en-US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</w:rPr>
              <w:t xml:space="preserve"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ESVXFR; </w:t>
            </w: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регистрационный номер дополнительного выпуска ценных бумаг 1-02-65105-D-006D от 14.03.2024 г., международный код (номер) идентификации ценных бумаг (ISIN): RU000A1082F7, международный код классификации финансовых инструментов (CFI): ESVXFR.</w:t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2.10. </w:t>
            </w:r>
            <w:r>
              <w:rPr>
                <w:rFonts w:eastAsia="Calibri" w:eastAsiaTheme="minorHAnsi"/>
                <w:lang w:eastAsia="en-US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      </w:r>
            <w:r>
              <w:rPr/>
              <w:t xml:space="preserve">: </w:t>
            </w:r>
            <w:r>
              <w:rPr>
                <w:b/>
              </w:rPr>
              <w:t>Решение Совета директоров ПАО «ОГК-2» от 13.05.2024 (Протокол от 13.05.2024 № 321).</w:t>
            </w:r>
          </w:p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2.11. </w:t>
            </w:r>
            <w:r>
              <w:rPr>
                <w:rFonts w:eastAsia="Calibri" w:eastAsiaTheme="minorHAnsi"/>
                <w:lang w:eastAsia="en-US"/>
              </w:rPr>
              <w:t>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</w:t>
            </w:r>
            <w:r>
              <w:rPr/>
              <w:t xml:space="preserve">: </w:t>
            </w:r>
            <w:r>
              <w:rPr>
                <w:b/>
              </w:rPr>
              <w:t>не применимо.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8"/>
        <w:gridCol w:w="293"/>
        <w:gridCol w:w="1318"/>
        <w:gridCol w:w="416"/>
        <w:gridCol w:w="307"/>
        <w:gridCol w:w="1209"/>
        <w:gridCol w:w="1339"/>
        <w:gridCol w:w="462"/>
        <w:gridCol w:w="3066"/>
        <w:gridCol w:w="268"/>
      </w:tblGrid>
      <w:tr>
        <w:trPr>
          <w:cantSplit w:val="true"/>
        </w:trPr>
        <w:tc>
          <w:tcPr>
            <w:tcW w:w="10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3.1</w:t>
            </w:r>
            <w:r>
              <w:rPr/>
              <w:t>.</w:t>
            </w:r>
            <w:r>
              <w:rPr>
                <w:b/>
              </w:rPr>
              <w:t> Заместитель управляющего директора</w:t>
            </w:r>
          </w:p>
          <w:p>
            <w:pPr>
              <w:pStyle w:val="Normal"/>
              <w:ind w:left="57"/>
              <w:rPr/>
            </w:pPr>
            <w:r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</w:p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b/>
              </w:rPr>
              <w:t>М.А. Чалый</w:t>
            </w:r>
          </w:p>
        </w:tc>
        <w:tc>
          <w:tcPr>
            <w:tcW w:w="26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«14»</w:t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мая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39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/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  <w:tab/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134" w:right="851" w:gutter="0" w:header="284" w:top="341" w:footer="284" w:bottom="34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1d9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70662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706628"/>
    <w:rPr/>
  </w:style>
  <w:style w:type="character" w:styleId="Hyperlink">
    <w:name w:val="Hyperlink"/>
    <w:rsid w:val="00706628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70662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70662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711645"/>
    <w:rPr>
      <w:rFonts w:ascii="Segoe UI" w:hAnsi="Segoe UI" w:eastAsia="Times New Roman" w:cs="Segoe UI"/>
      <w:sz w:val="18"/>
      <w:szCs w:val="18"/>
      <w:lang w:eastAsia="ru-RU"/>
    </w:rPr>
  </w:style>
  <w:style w:type="character" w:styleId="Style18" w:customStyle="1">
    <w:name w:val="Абзац списка Знак"/>
    <w:link w:val="ListParagraph"/>
    <w:uiPriority w:val="34"/>
    <w:qFormat/>
    <w:locked/>
    <w:rsid w:val="000a0fb3"/>
    <w:rPr>
      <w:rFonts w:ascii="Calibri" w:hAnsi="Calibri" w:eastAsia="Calibri" w:cs="Times New Roman"/>
      <w:lang w:val="x-none"/>
    </w:rPr>
  </w:style>
  <w:style w:type="character" w:styleId="Style12ptBoldItalic" w:customStyle="1">
    <w:name w:val="Style 12 pt Bold Italic"/>
    <w:uiPriority w:val="99"/>
    <w:qFormat/>
    <w:rsid w:val="00c918cc"/>
    <w:rPr>
      <w:rFonts w:ascii="Times New Roman" w:hAnsi="Times New Roman"/>
      <w:b/>
      <w:bCs/>
      <w:i/>
      <w:iCs/>
      <w:sz w:val="22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5"/>
    <w:rsid w:val="00706628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706628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16"/>
    <w:uiPriority w:val="99"/>
    <w:rsid w:val="0070662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71164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8"/>
    <w:uiPriority w:val="34"/>
    <w:qFormat/>
    <w:rsid w:val="000a0fb3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val="x-none" w:eastAsia="en-US"/>
    </w:rPr>
  </w:style>
  <w:style w:type="paragraph" w:styleId="NoSpacing">
    <w:name w:val="No Spacing"/>
    <w:uiPriority w:val="1"/>
    <w:qFormat/>
    <w:rsid w:val="00eb3e6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90E5-E850-4169-A28C-187756D2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Application>LibreOffice/7.6.4.1$Linux_X86_64 LibreOffice_project/60$Build-1</Application>
  <AppVersion>15.0000</AppVersion>
  <Pages>2</Pages>
  <Words>899</Words>
  <Characters>6343</Characters>
  <CharactersWithSpaces>7216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2020-02-27T13:07:00Z</dcterms:created>
  <dc:creator>Белокур Елена Викторовна</dc:creator>
  <dc:description/>
  <dc:language>ru-RU</dc:language>
  <cp:lastModifiedBy/>
  <cp:lastPrinted>2024-05-13T15:34:03Z</cp:lastPrinted>
  <dcterms:modified xsi:type="dcterms:W3CDTF">2024-05-14T17:43:56Z</dcterms:modified>
  <cp:revision>400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