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>Сообщение о существенном факте</w:t>
      </w:r>
      <w:r w:rsidRPr="009E659E">
        <w:rPr>
          <w:b/>
          <w:bCs/>
          <w:sz w:val="22"/>
          <w:szCs w:val="22"/>
        </w:rPr>
        <w:br/>
        <w:t xml:space="preserve">«Сведения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1.1. </w:t>
            </w:r>
            <w:r w:rsidRPr="00AD3FA2">
              <w:rPr>
                <w:szCs w:val="22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374A93" w:rsidRDefault="00C918CC" w:rsidP="00C918CC">
            <w:pPr>
              <w:rPr>
                <w:szCs w:val="22"/>
              </w:rPr>
            </w:pP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b/>
                <w:bCs/>
                <w:szCs w:val="22"/>
              </w:rPr>
            </w:pPr>
            <w:r w:rsidRPr="00374A93">
              <w:rPr>
                <w:szCs w:val="22"/>
              </w:rPr>
              <w:t xml:space="preserve">1.2. </w:t>
            </w:r>
            <w:r w:rsidRPr="00AD3FA2">
              <w:rPr>
                <w:szCs w:val="22"/>
              </w:rPr>
              <w:t>Адрес эмитента, указанный в едином государственном реестре юридических ли</w:t>
            </w:r>
            <w:r>
              <w:rPr>
                <w:szCs w:val="22"/>
              </w:rPr>
              <w:t>ц</w:t>
            </w:r>
          </w:p>
        </w:tc>
        <w:tc>
          <w:tcPr>
            <w:tcW w:w="5440" w:type="dxa"/>
            <w:shd w:val="clear" w:color="auto" w:fill="auto"/>
          </w:tcPr>
          <w:p w:rsidR="00C918CC" w:rsidRPr="00AD3FA2" w:rsidRDefault="00C918CC" w:rsidP="00C918CC">
            <w:pPr>
              <w:ind w:left="40" w:right="85"/>
              <w:rPr>
                <w:rStyle w:val="Style12ptBoldItalic"/>
                <w:i w:val="0"/>
                <w:szCs w:val="22"/>
              </w:rPr>
            </w:pP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356126, Ставропольский край, </w:t>
            </w:r>
            <w:r w:rsidRPr="009B4D1F">
              <w:rPr>
                <w:b/>
                <w:bCs/>
                <w:color w:val="000000"/>
                <w:szCs w:val="22"/>
                <w:shd w:val="clear" w:color="auto" w:fill="FFFFFF"/>
              </w:rPr>
              <w:t>р-н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Изобильненский , </w:t>
            </w:r>
            <w:r w:rsidRPr="005C4328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                        </w:t>
            </w:r>
            <w:r w:rsidRPr="00AD3FA2">
              <w:rPr>
                <w:b/>
                <w:bCs/>
                <w:color w:val="000000"/>
                <w:szCs w:val="22"/>
                <w:shd w:val="clear" w:color="auto" w:fill="FFFFFF"/>
              </w:rPr>
              <w:t>п. Солнечнодольск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AD3FA2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  <w:r w:rsidRPr="00374A93" w:rsidDel="00437D0F">
              <w:rPr>
                <w:szCs w:val="22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1052600002180</w:t>
            </w:r>
          </w:p>
        </w:tc>
      </w:tr>
      <w:tr w:rsidR="00C918CC" w:rsidRPr="009E659E" w:rsidTr="0085747C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 w:rsidRPr="00374A93">
              <w:rPr>
                <w:szCs w:val="22"/>
              </w:rPr>
              <w:t xml:space="preserve">1.4. </w:t>
            </w:r>
            <w:r>
              <w:rPr>
                <w:szCs w:val="22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bCs/>
                <w:iCs/>
                <w:szCs w:val="22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2607018122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C918CC" w:rsidP="00C918CC">
            <w:pPr>
              <w:ind w:left="40" w:right="85"/>
              <w:rPr>
                <w:b/>
                <w:color w:val="000000"/>
                <w:szCs w:val="22"/>
                <w:shd w:val="clear" w:color="auto" w:fill="FFFFFF"/>
              </w:rPr>
            </w:pPr>
            <w:r w:rsidRPr="00374A93">
              <w:rPr>
                <w:b/>
                <w:color w:val="000000"/>
                <w:szCs w:val="22"/>
                <w:shd w:val="clear" w:color="auto" w:fill="FFFFFF"/>
              </w:rPr>
              <w:t>65105-D</w:t>
            </w:r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rPr>
                <w:szCs w:val="22"/>
              </w:rPr>
            </w:pPr>
            <w:r>
              <w:rPr>
                <w:szCs w:val="22"/>
              </w:rPr>
              <w:t>1.6</w:t>
            </w:r>
            <w:r w:rsidRPr="00374A93">
              <w:rPr>
                <w:szCs w:val="22"/>
              </w:rPr>
              <w:t>. 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525AAE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2671AE">
                <w:rPr>
                  <w:rStyle w:val="a6"/>
                  <w:b/>
                  <w:bCs/>
                  <w:iCs/>
                </w:rPr>
                <w:t>http</w:t>
              </w:r>
              <w:r w:rsidR="00C918CC" w:rsidRPr="002671A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2671AE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374A93" w:rsidRDefault="00525AAE" w:rsidP="00C918CC">
            <w:pPr>
              <w:ind w:right="85"/>
              <w:rPr>
                <w:b/>
                <w:bCs/>
                <w:iCs/>
                <w:szCs w:val="22"/>
              </w:rPr>
            </w:pPr>
            <w:hyperlink r:id="rId9" w:history="1">
              <w:r w:rsidR="00C918CC" w:rsidRPr="0069381E">
                <w:rPr>
                  <w:rStyle w:val="a6"/>
                  <w:b/>
                  <w:bCs/>
                  <w:iCs/>
                </w:rPr>
                <w:t>http</w:t>
              </w:r>
              <w:r w:rsidR="00C918CC" w:rsidRPr="0069381E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69381E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9E659E" w:rsidTr="0085747C">
        <w:tc>
          <w:tcPr>
            <w:tcW w:w="5246" w:type="dxa"/>
            <w:shd w:val="clear" w:color="auto" w:fill="auto"/>
          </w:tcPr>
          <w:p w:rsidR="00C918CC" w:rsidRPr="00374A93" w:rsidRDefault="00C918CC" w:rsidP="00C918CC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440" w:type="dxa"/>
            <w:shd w:val="clear" w:color="auto" w:fill="auto"/>
          </w:tcPr>
          <w:p w:rsidR="00C918CC" w:rsidRPr="00374A93" w:rsidRDefault="00D57182" w:rsidP="00C918CC">
            <w:pPr>
              <w:ind w:left="40" w:right="85"/>
              <w:rPr>
                <w:rStyle w:val="a6"/>
                <w:b/>
                <w:szCs w:val="22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29</w:t>
            </w:r>
            <w:r w:rsidR="00C918CC">
              <w:rPr>
                <w:b/>
                <w:color w:val="000000"/>
                <w:szCs w:val="22"/>
                <w:shd w:val="clear" w:color="auto" w:fill="FFFFFF"/>
              </w:rPr>
              <w:t>.12.2021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B61A88" w:rsidRPr="00C33FCF" w:rsidRDefault="00706628" w:rsidP="00B61A88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33FCF">
              <w:rPr>
                <w:sz w:val="22"/>
                <w:szCs w:val="22"/>
              </w:rPr>
              <w:t xml:space="preserve">2.1. </w:t>
            </w:r>
            <w:r w:rsidR="00B61A88" w:rsidRPr="00C33FCF">
              <w:rPr>
                <w:rFonts w:eastAsiaTheme="minorHAnsi"/>
                <w:sz w:val="22"/>
                <w:szCs w:val="22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C33FCF" w:rsidRDefault="00706628" w:rsidP="00B61A88">
            <w:pPr>
              <w:ind w:right="57"/>
              <w:rPr>
                <w:sz w:val="22"/>
                <w:szCs w:val="22"/>
              </w:rPr>
            </w:pPr>
            <w:r w:rsidRPr="00C33FCF">
              <w:rPr>
                <w:b/>
                <w:sz w:val="22"/>
                <w:szCs w:val="22"/>
              </w:rPr>
              <w:t>В заочно</w:t>
            </w:r>
            <w:r w:rsidR="00713852" w:rsidRPr="00C33FCF">
              <w:rPr>
                <w:b/>
                <w:sz w:val="22"/>
                <w:szCs w:val="22"/>
              </w:rPr>
              <w:t>м голосовании приняли участие 11</w:t>
            </w:r>
            <w:r w:rsidR="00617800" w:rsidRPr="00C33FCF">
              <w:rPr>
                <w:b/>
                <w:sz w:val="22"/>
                <w:szCs w:val="22"/>
              </w:rPr>
              <w:t xml:space="preserve"> из 11</w:t>
            </w:r>
            <w:r w:rsidRPr="00C33FCF">
              <w:rPr>
                <w:b/>
                <w:sz w:val="22"/>
                <w:szCs w:val="22"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C33FCF">
              <w:rPr>
                <w:sz w:val="22"/>
                <w:szCs w:val="22"/>
              </w:rPr>
              <w:t>.</w:t>
            </w:r>
          </w:p>
          <w:p w:rsidR="00706628" w:rsidRPr="00C33FCF" w:rsidRDefault="00706628" w:rsidP="000B68BA">
            <w:pPr>
              <w:tabs>
                <w:tab w:val="left" w:pos="547"/>
              </w:tabs>
              <w:ind w:left="-28" w:right="57"/>
              <w:jc w:val="both"/>
              <w:rPr>
                <w:sz w:val="22"/>
                <w:szCs w:val="22"/>
              </w:rPr>
            </w:pPr>
            <w:r w:rsidRPr="00C33FCF">
              <w:rPr>
                <w:sz w:val="22"/>
                <w:szCs w:val="22"/>
              </w:rPr>
              <w:t>2.2. Содержание решений, принятых советом директоров эмитента:</w:t>
            </w:r>
          </w:p>
          <w:p w:rsidR="00706628" w:rsidRPr="00C33FCF" w:rsidRDefault="00706628" w:rsidP="00667C96">
            <w:pPr>
              <w:tabs>
                <w:tab w:val="left" w:pos="547"/>
              </w:tabs>
              <w:ind w:left="121" w:right="57"/>
              <w:jc w:val="both"/>
              <w:rPr>
                <w:sz w:val="22"/>
                <w:szCs w:val="22"/>
              </w:rPr>
            </w:pPr>
          </w:p>
          <w:p w:rsidR="00CE1D80" w:rsidRPr="00C33FCF" w:rsidRDefault="00706628" w:rsidP="003F4A67">
            <w:pPr>
              <w:pStyle w:val="a7"/>
              <w:widowControl w:val="0"/>
              <w:rPr>
                <w:b/>
                <w:sz w:val="22"/>
                <w:szCs w:val="22"/>
              </w:rPr>
            </w:pPr>
            <w:r w:rsidRPr="00C33FCF">
              <w:rPr>
                <w:b/>
                <w:sz w:val="22"/>
                <w:szCs w:val="22"/>
              </w:rPr>
              <w:t>Вопрос:</w:t>
            </w:r>
          </w:p>
          <w:p w:rsidR="00C33FCF" w:rsidRDefault="00C33FCF" w:rsidP="00C33FCF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33FCF">
              <w:rPr>
                <w:b/>
                <w:color w:val="000000"/>
                <w:sz w:val="22"/>
                <w:szCs w:val="22"/>
                <w:lang w:eastAsia="en-US"/>
              </w:rPr>
              <w:t>2. Об определении приоритетных нап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равлений деятельности Общества:</w:t>
            </w:r>
          </w:p>
          <w:p w:rsidR="00C33FCF" w:rsidRPr="00C33FCF" w:rsidRDefault="00C33FCF" w:rsidP="00C33FCF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33FCF">
              <w:rPr>
                <w:b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  <w:p w:rsidR="00C33FCF" w:rsidRPr="00C33FCF" w:rsidRDefault="00C33FCF" w:rsidP="00C33F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3FCF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3FCF">
              <w:rPr>
                <w:color w:val="000000"/>
                <w:sz w:val="22"/>
                <w:szCs w:val="22"/>
                <w:lang w:eastAsia="en-US"/>
              </w:rPr>
              <w:t>О деятельности в области устойчивого развития в ПАО «ОГК-2</w:t>
            </w:r>
            <w:r w:rsidR="00514BA4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C33FCF" w:rsidRPr="00C33FCF" w:rsidRDefault="00C33FCF" w:rsidP="00C33FCF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33FCF" w:rsidRPr="00C33FCF" w:rsidRDefault="00C33FCF" w:rsidP="00C33FCF">
            <w:pPr>
              <w:pStyle w:val="af"/>
              <w:rPr>
                <w:b/>
                <w:sz w:val="22"/>
                <w:szCs w:val="22"/>
              </w:rPr>
            </w:pPr>
            <w:r w:rsidRPr="00C33FCF">
              <w:rPr>
                <w:b/>
                <w:sz w:val="22"/>
                <w:szCs w:val="22"/>
              </w:rPr>
              <w:t>Принятое решение:</w:t>
            </w:r>
            <w:bookmarkStart w:id="0" w:name="_GoBack"/>
            <w:bookmarkEnd w:id="0"/>
          </w:p>
          <w:p w:rsidR="00C33FCF" w:rsidRPr="00C33FCF" w:rsidRDefault="00C33FCF" w:rsidP="00C33FCF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33FCF" w:rsidRPr="00C33FCF" w:rsidRDefault="00C33FCF" w:rsidP="00C33FCF">
            <w:pPr>
              <w:tabs>
                <w:tab w:val="left" w:pos="567"/>
                <w:tab w:val="left" w:pos="851"/>
                <w:tab w:val="left" w:pos="993"/>
                <w:tab w:val="left" w:pos="1276"/>
              </w:tabs>
              <w:autoSpaceDE/>
              <w:autoSpaceDN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33FCF">
              <w:rPr>
                <w:color w:val="000000"/>
                <w:sz w:val="22"/>
                <w:szCs w:val="22"/>
                <w:lang w:eastAsia="en-US"/>
              </w:rPr>
              <w:t xml:space="preserve">       Признать деятельность в области устойчивого развития приоритетным направлением деятельности Общества.</w:t>
            </w:r>
          </w:p>
          <w:p w:rsidR="00C33FCF" w:rsidRPr="00C33FCF" w:rsidRDefault="00C33FCF" w:rsidP="00667C96">
            <w:pPr>
              <w:ind w:right="57" w:firstLine="21"/>
              <w:jc w:val="both"/>
              <w:rPr>
                <w:color w:val="000000"/>
                <w:sz w:val="22"/>
                <w:szCs w:val="22"/>
              </w:rPr>
            </w:pPr>
          </w:p>
          <w:p w:rsidR="00706628" w:rsidRPr="00C33FCF" w:rsidRDefault="00706628" w:rsidP="00667C96">
            <w:pPr>
              <w:ind w:right="57" w:firstLine="21"/>
              <w:jc w:val="both"/>
              <w:rPr>
                <w:b/>
                <w:color w:val="000000"/>
                <w:sz w:val="22"/>
                <w:szCs w:val="22"/>
              </w:rPr>
            </w:pPr>
            <w:r w:rsidRPr="00C33FCF">
              <w:rPr>
                <w:color w:val="000000"/>
                <w:sz w:val="22"/>
                <w:szCs w:val="22"/>
              </w:rPr>
              <w:t>2.3. Дата проведения заседания совета директоров эмитента, на котором приняты решения:</w:t>
            </w:r>
            <w:r w:rsidR="00EB3E6C" w:rsidRPr="00C33FC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93FC8" w:rsidRPr="00C33FCF">
              <w:rPr>
                <w:b/>
                <w:color w:val="000000"/>
                <w:sz w:val="22"/>
                <w:szCs w:val="22"/>
              </w:rPr>
              <w:t>29</w:t>
            </w:r>
            <w:r w:rsidR="00CE25EE" w:rsidRPr="00C33FCF">
              <w:rPr>
                <w:b/>
                <w:color w:val="000000"/>
                <w:sz w:val="22"/>
                <w:szCs w:val="22"/>
              </w:rPr>
              <w:t>.</w:t>
            </w:r>
            <w:r w:rsidR="00CE1D80" w:rsidRPr="00C33FCF">
              <w:rPr>
                <w:b/>
                <w:color w:val="000000"/>
                <w:sz w:val="22"/>
                <w:szCs w:val="22"/>
              </w:rPr>
              <w:t>12</w:t>
            </w:r>
            <w:r w:rsidR="004A3C11" w:rsidRPr="00C33FCF">
              <w:rPr>
                <w:b/>
                <w:color w:val="000000"/>
                <w:sz w:val="22"/>
                <w:szCs w:val="22"/>
              </w:rPr>
              <w:t>.</w:t>
            </w:r>
            <w:r w:rsidR="00CE25EE" w:rsidRPr="00C33FCF">
              <w:rPr>
                <w:b/>
                <w:color w:val="000000"/>
                <w:sz w:val="22"/>
                <w:szCs w:val="22"/>
              </w:rPr>
              <w:t>2021</w:t>
            </w:r>
            <w:r w:rsidRPr="00C33FCF">
              <w:rPr>
                <w:b/>
                <w:color w:val="000000"/>
                <w:sz w:val="22"/>
                <w:szCs w:val="22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C33FCF">
              <w:rPr>
                <w:color w:val="000000"/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C33FCF">
              <w:rPr>
                <w:b/>
                <w:sz w:val="22"/>
                <w:szCs w:val="22"/>
              </w:rPr>
              <w:t>Протокол от</w:t>
            </w:r>
            <w:r w:rsidR="00E6054F" w:rsidRPr="00C33FCF">
              <w:rPr>
                <w:b/>
                <w:sz w:val="22"/>
                <w:szCs w:val="22"/>
              </w:rPr>
              <w:t xml:space="preserve"> </w:t>
            </w:r>
            <w:r w:rsidR="00293FC8" w:rsidRPr="00C33FCF">
              <w:rPr>
                <w:b/>
                <w:sz w:val="22"/>
                <w:szCs w:val="22"/>
              </w:rPr>
              <w:t>29</w:t>
            </w:r>
            <w:r w:rsidR="00CE1D80" w:rsidRPr="00C33FCF">
              <w:rPr>
                <w:b/>
                <w:sz w:val="22"/>
                <w:szCs w:val="22"/>
              </w:rPr>
              <w:t>.12</w:t>
            </w:r>
            <w:r w:rsidR="00EB3E6C" w:rsidRPr="00C33FCF">
              <w:rPr>
                <w:b/>
                <w:sz w:val="22"/>
                <w:szCs w:val="22"/>
              </w:rPr>
              <w:t>.20</w:t>
            </w:r>
            <w:r w:rsidR="00293FC8" w:rsidRPr="00C33FCF">
              <w:rPr>
                <w:b/>
                <w:sz w:val="22"/>
                <w:szCs w:val="22"/>
              </w:rPr>
              <w:t>21 № 270</w:t>
            </w:r>
            <w:r w:rsidRPr="00C33FCF">
              <w:rPr>
                <w:b/>
                <w:sz w:val="22"/>
                <w:szCs w:val="22"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E77FB8" w:rsidRPr="000107FC" w:rsidRDefault="003D7C0D" w:rsidP="00E77FB8">
            <w:pPr>
              <w:ind w:left="57"/>
              <w:rPr>
                <w:sz w:val="24"/>
                <w:szCs w:val="24"/>
              </w:rPr>
            </w:pPr>
            <w:r w:rsidRPr="004A107F">
              <w:rPr>
                <w:b/>
                <w:sz w:val="22"/>
                <w:szCs w:val="22"/>
              </w:rPr>
              <w:t xml:space="preserve">по корпоративным и правовым вопросам, действующий на основании доверенности                         </w:t>
            </w:r>
            <w:r w:rsidR="00E77FB8" w:rsidRPr="00E77FB8">
              <w:rPr>
                <w:b/>
                <w:sz w:val="22"/>
                <w:szCs w:val="22"/>
              </w:rPr>
              <w:t>№ 78/162-н/78-2020-13-212 от 10.12.2020</w:t>
            </w:r>
            <w:r w:rsidR="00E77FB8" w:rsidRPr="000107FC">
              <w:t xml:space="preserve"> </w:t>
            </w:r>
          </w:p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10390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1D80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AE" w:rsidRDefault="00525AAE">
      <w:r>
        <w:separator/>
      </w:r>
    </w:p>
  </w:endnote>
  <w:endnote w:type="continuationSeparator" w:id="0">
    <w:p w:rsidR="00525AAE" w:rsidRDefault="0052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33FCF">
      <w:rPr>
        <w:noProof/>
      </w:rPr>
      <w:t>2</w:t>
    </w:r>
    <w:r>
      <w:fldChar w:fldCharType="end"/>
    </w:r>
  </w:p>
  <w:p w:rsidR="0088447D" w:rsidRDefault="00525A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AE" w:rsidRDefault="00525AAE">
      <w:r>
        <w:separator/>
      </w:r>
    </w:p>
  </w:footnote>
  <w:footnote w:type="continuationSeparator" w:id="0">
    <w:p w:rsidR="00525AAE" w:rsidRDefault="0052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525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7D09A0"/>
    <w:multiLevelType w:val="multilevel"/>
    <w:tmpl w:val="09C08B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645F9"/>
    <w:rsid w:val="00081EA6"/>
    <w:rsid w:val="00090D5B"/>
    <w:rsid w:val="00091CA1"/>
    <w:rsid w:val="000A0FB3"/>
    <w:rsid w:val="000A70B8"/>
    <w:rsid w:val="000B68BA"/>
    <w:rsid w:val="000C146A"/>
    <w:rsid w:val="000C5AB0"/>
    <w:rsid w:val="000D3DBD"/>
    <w:rsid w:val="000D5734"/>
    <w:rsid w:val="000D7DD9"/>
    <w:rsid w:val="000E5D25"/>
    <w:rsid w:val="000F687B"/>
    <w:rsid w:val="0010390E"/>
    <w:rsid w:val="001053E4"/>
    <w:rsid w:val="00113BE1"/>
    <w:rsid w:val="0011758E"/>
    <w:rsid w:val="0013291E"/>
    <w:rsid w:val="00141059"/>
    <w:rsid w:val="00144C56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3C72"/>
    <w:rsid w:val="002D63C4"/>
    <w:rsid w:val="002E21ED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97181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F4A67"/>
    <w:rsid w:val="003F6A38"/>
    <w:rsid w:val="00411BC4"/>
    <w:rsid w:val="004127E1"/>
    <w:rsid w:val="00425187"/>
    <w:rsid w:val="004252AD"/>
    <w:rsid w:val="004419A2"/>
    <w:rsid w:val="00457116"/>
    <w:rsid w:val="00461C98"/>
    <w:rsid w:val="004855A1"/>
    <w:rsid w:val="00487835"/>
    <w:rsid w:val="004A107F"/>
    <w:rsid w:val="004A3C11"/>
    <w:rsid w:val="004D12B0"/>
    <w:rsid w:val="004F0DF8"/>
    <w:rsid w:val="004F34E1"/>
    <w:rsid w:val="004F3FDE"/>
    <w:rsid w:val="004F492F"/>
    <w:rsid w:val="00514BA4"/>
    <w:rsid w:val="005172A4"/>
    <w:rsid w:val="00522AEC"/>
    <w:rsid w:val="0052328D"/>
    <w:rsid w:val="00523376"/>
    <w:rsid w:val="00525AAE"/>
    <w:rsid w:val="00551309"/>
    <w:rsid w:val="0055454E"/>
    <w:rsid w:val="005862EA"/>
    <w:rsid w:val="0059717C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B5B0E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2F78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A063A"/>
    <w:rsid w:val="008A3B15"/>
    <w:rsid w:val="008A5757"/>
    <w:rsid w:val="008C2988"/>
    <w:rsid w:val="008C3FAC"/>
    <w:rsid w:val="008D3295"/>
    <w:rsid w:val="008D4389"/>
    <w:rsid w:val="008D7AA9"/>
    <w:rsid w:val="008E37E8"/>
    <w:rsid w:val="008E5A11"/>
    <w:rsid w:val="009166DE"/>
    <w:rsid w:val="009177AB"/>
    <w:rsid w:val="00917860"/>
    <w:rsid w:val="009212D8"/>
    <w:rsid w:val="009236B3"/>
    <w:rsid w:val="009349A9"/>
    <w:rsid w:val="00934C6A"/>
    <w:rsid w:val="00954573"/>
    <w:rsid w:val="00955CD7"/>
    <w:rsid w:val="00963F09"/>
    <w:rsid w:val="0097501A"/>
    <w:rsid w:val="009807ED"/>
    <w:rsid w:val="00984DFF"/>
    <w:rsid w:val="00991D42"/>
    <w:rsid w:val="00994D50"/>
    <w:rsid w:val="00995AB2"/>
    <w:rsid w:val="009B5F7D"/>
    <w:rsid w:val="009C2F1C"/>
    <w:rsid w:val="009D014A"/>
    <w:rsid w:val="009E4256"/>
    <w:rsid w:val="009E659E"/>
    <w:rsid w:val="009F1B9E"/>
    <w:rsid w:val="00A121A4"/>
    <w:rsid w:val="00A15617"/>
    <w:rsid w:val="00A2592C"/>
    <w:rsid w:val="00A3728D"/>
    <w:rsid w:val="00A51F80"/>
    <w:rsid w:val="00A52CA9"/>
    <w:rsid w:val="00A7047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AF3059"/>
    <w:rsid w:val="00B01A51"/>
    <w:rsid w:val="00B11220"/>
    <w:rsid w:val="00B22D44"/>
    <w:rsid w:val="00B27367"/>
    <w:rsid w:val="00B27721"/>
    <w:rsid w:val="00B465D8"/>
    <w:rsid w:val="00B53900"/>
    <w:rsid w:val="00B61A88"/>
    <w:rsid w:val="00B629C9"/>
    <w:rsid w:val="00B67FE3"/>
    <w:rsid w:val="00B80C20"/>
    <w:rsid w:val="00B80D6C"/>
    <w:rsid w:val="00B8611B"/>
    <w:rsid w:val="00BA2520"/>
    <w:rsid w:val="00BA3C6A"/>
    <w:rsid w:val="00BB0CF1"/>
    <w:rsid w:val="00BB258C"/>
    <w:rsid w:val="00BB3153"/>
    <w:rsid w:val="00BB70F1"/>
    <w:rsid w:val="00BC1DB6"/>
    <w:rsid w:val="00BD6B77"/>
    <w:rsid w:val="00BE20C7"/>
    <w:rsid w:val="00BE64CA"/>
    <w:rsid w:val="00BE6918"/>
    <w:rsid w:val="00BE7D55"/>
    <w:rsid w:val="00BF164A"/>
    <w:rsid w:val="00BF3B74"/>
    <w:rsid w:val="00C026CB"/>
    <w:rsid w:val="00C03546"/>
    <w:rsid w:val="00C07274"/>
    <w:rsid w:val="00C145BB"/>
    <w:rsid w:val="00C21F5F"/>
    <w:rsid w:val="00C22D4A"/>
    <w:rsid w:val="00C30290"/>
    <w:rsid w:val="00C33FCF"/>
    <w:rsid w:val="00C410E2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C526E"/>
    <w:rsid w:val="00CD0ABA"/>
    <w:rsid w:val="00CD66D1"/>
    <w:rsid w:val="00CE1554"/>
    <w:rsid w:val="00CE1D80"/>
    <w:rsid w:val="00CE25EE"/>
    <w:rsid w:val="00CF6D0B"/>
    <w:rsid w:val="00D001BE"/>
    <w:rsid w:val="00D10FC6"/>
    <w:rsid w:val="00D25D2E"/>
    <w:rsid w:val="00D44EB6"/>
    <w:rsid w:val="00D4563C"/>
    <w:rsid w:val="00D46A1D"/>
    <w:rsid w:val="00D47713"/>
    <w:rsid w:val="00D56BA8"/>
    <w:rsid w:val="00D57182"/>
    <w:rsid w:val="00D614CB"/>
    <w:rsid w:val="00D62B47"/>
    <w:rsid w:val="00D62D3B"/>
    <w:rsid w:val="00D64126"/>
    <w:rsid w:val="00D73342"/>
    <w:rsid w:val="00D762C9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5550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62C"/>
    <w:rsid w:val="00E67B49"/>
    <w:rsid w:val="00E72C43"/>
    <w:rsid w:val="00E73498"/>
    <w:rsid w:val="00E7669B"/>
    <w:rsid w:val="00E77FB8"/>
    <w:rsid w:val="00EA41C7"/>
    <w:rsid w:val="00EB3E1B"/>
    <w:rsid w:val="00EB3E6C"/>
    <w:rsid w:val="00EB50AD"/>
    <w:rsid w:val="00EB7CDA"/>
    <w:rsid w:val="00EC1A2F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766D1"/>
    <w:rsid w:val="00F9535F"/>
    <w:rsid w:val="00FB1C32"/>
    <w:rsid w:val="00FC16AD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EF96-41AF-4307-A877-CAE22E3B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198</cp:revision>
  <cp:lastPrinted>2021-12-30T08:09:00Z</cp:lastPrinted>
  <dcterms:created xsi:type="dcterms:W3CDTF">2020-02-27T13:07:00Z</dcterms:created>
  <dcterms:modified xsi:type="dcterms:W3CDTF">2021-12-30T08:10:00Z</dcterms:modified>
</cp:coreProperties>
</file>