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52" w:rsidRPr="00EE4C04" w:rsidRDefault="00CB6152">
      <w:pPr>
        <w:ind w:firstLine="540"/>
        <w:jc w:val="center"/>
        <w:outlineLvl w:val="0"/>
        <w:rPr>
          <w:b/>
          <w:bCs/>
          <w:sz w:val="22"/>
          <w:szCs w:val="22"/>
        </w:rPr>
      </w:pPr>
    </w:p>
    <w:p w:rsidR="00CB6152" w:rsidRPr="00EE4C04" w:rsidRDefault="00EE4C04">
      <w:pPr>
        <w:ind w:firstLine="540"/>
        <w:jc w:val="center"/>
        <w:outlineLvl w:val="0"/>
        <w:rPr>
          <w:b/>
          <w:bCs/>
          <w:sz w:val="22"/>
          <w:szCs w:val="22"/>
        </w:rPr>
      </w:pPr>
      <w:r w:rsidRPr="00EE4C04">
        <w:rPr>
          <w:rFonts w:eastAsia="Tempora LGC Uni"/>
          <w:b/>
          <w:bCs/>
          <w:sz w:val="22"/>
          <w:szCs w:val="22"/>
        </w:rPr>
        <w:t xml:space="preserve">Сообщение о существенном факте </w:t>
      </w:r>
    </w:p>
    <w:p w:rsidR="00CB6152" w:rsidRPr="00EE4C04" w:rsidRDefault="00EE4C04">
      <w:pPr>
        <w:jc w:val="center"/>
        <w:rPr>
          <w:b/>
          <w:bCs/>
          <w:sz w:val="22"/>
          <w:szCs w:val="22"/>
        </w:rPr>
      </w:pPr>
      <w:r w:rsidRPr="00EE4C04">
        <w:rPr>
          <w:rFonts w:eastAsia="Tempora LGC Uni"/>
          <w:b/>
          <w:bCs/>
          <w:sz w:val="22"/>
          <w:szCs w:val="22"/>
        </w:rPr>
        <w:t>«</w:t>
      </w:r>
      <w:r w:rsidRPr="00EE4C04">
        <w:rPr>
          <w:rFonts w:eastAsia="Tempora LGC Uni"/>
          <w:b/>
          <w:sz w:val="22"/>
          <w:szCs w:val="22"/>
        </w:rPr>
        <w:t>О проведении заседания совета директоров эмитента и его повестке дня</w:t>
      </w:r>
      <w:r w:rsidRPr="00EE4C04">
        <w:rPr>
          <w:rFonts w:eastAsia="Tempora LGC Uni"/>
          <w:b/>
          <w:bCs/>
          <w:sz w:val="22"/>
          <w:szCs w:val="22"/>
        </w:rPr>
        <w:t>»</w:t>
      </w:r>
    </w:p>
    <w:p w:rsidR="00CB6152" w:rsidRPr="00EE4C04" w:rsidRDefault="00CB6152">
      <w:pPr>
        <w:ind w:firstLine="540"/>
        <w:jc w:val="center"/>
        <w:outlineLvl w:val="0"/>
        <w:rPr>
          <w:b/>
          <w:bCs/>
          <w:sz w:val="22"/>
          <w:szCs w:val="22"/>
        </w:rPr>
      </w:pP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 w:rsidR="00CB6152" w:rsidRPr="00EE4C04"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center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 Общие сведения</w:t>
            </w:r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both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left="40" w:right="85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both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left="40" w:right="85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196605, г. Санкт-Петербург, вн.тер.г. поселок Шушары, ш Петербургское, д. 66, к. 1,</w:t>
            </w: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 xml:space="preserve"> литера А, этаж 7, помещ. 36-Н, каб. 701</w:t>
            </w:r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both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left="40" w:right="85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1052600002180</w:t>
            </w:r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both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left="40" w:right="85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2607018122</w:t>
            </w:r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both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left="40" w:right="85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65105-D</w:t>
            </w:r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right="57"/>
              <w:rPr>
                <w:b/>
                <w:bCs/>
                <w:sz w:val="22"/>
                <w:szCs w:val="22"/>
              </w:rPr>
            </w:pPr>
            <w:hyperlink r:id="rId7" w:tooltip="https://www.ogk2.ru/" w:history="1">
              <w:r w:rsidRPr="00EE4C04">
                <w:rPr>
                  <w:rStyle w:val="aa"/>
                  <w:rFonts w:eastAsia="Tempora LGC Uni"/>
                  <w:b/>
                  <w:bCs/>
                  <w:color w:val="auto"/>
                  <w:sz w:val="22"/>
                  <w:szCs w:val="22"/>
                </w:rPr>
                <w:t>https://www.ogk2.ru</w:t>
              </w:r>
            </w:hyperlink>
          </w:p>
          <w:p w:rsidR="00CB6152" w:rsidRPr="00EE4C04" w:rsidRDefault="00EE4C04">
            <w:pPr>
              <w:ind w:right="85"/>
              <w:rPr>
                <w:b/>
                <w:bCs/>
                <w:sz w:val="22"/>
                <w:szCs w:val="22"/>
              </w:rPr>
            </w:pPr>
            <w:hyperlink r:id="rId8" w:tooltip="https://www.e-disclosure.ru/portal/company.aspx?id=7234" w:history="1">
              <w:r w:rsidRPr="00EE4C04">
                <w:rPr>
                  <w:rStyle w:val="aa"/>
                  <w:rFonts w:eastAsia="Tempora LGC Uni"/>
                  <w:b/>
                  <w:bCs/>
                  <w:color w:val="auto"/>
                  <w:sz w:val="22"/>
                  <w:szCs w:val="22"/>
                </w:rPr>
                <w:t>https://www.e-disclosure.ru/portal/company.aspx?id=7234</w:t>
              </w:r>
            </w:hyperlink>
          </w:p>
        </w:tc>
      </w:tr>
      <w:tr w:rsidR="00CB6152" w:rsidRPr="00EE4C04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both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24173B" w:rsidP="0024173B">
            <w:pPr>
              <w:ind w:right="85"/>
              <w:rPr>
                <w:b/>
                <w:bCs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06</w:t>
            </w:r>
            <w:r w:rsidR="00EE4C04" w:rsidRPr="00EE4C04">
              <w:rPr>
                <w:rFonts w:eastAsia="Tempora LGC Uni"/>
                <w:b/>
                <w:bCs/>
                <w:sz w:val="22"/>
                <w:szCs w:val="22"/>
              </w:rPr>
              <w:t>.0</w:t>
            </w:r>
            <w:r w:rsidRPr="00EE4C04">
              <w:rPr>
                <w:rFonts w:eastAsia="Tempora LGC Uni"/>
                <w:b/>
                <w:bCs/>
                <w:sz w:val="22"/>
                <w:szCs w:val="22"/>
              </w:rPr>
              <w:t>5</w:t>
            </w:r>
            <w:r w:rsidR="00EE4C04" w:rsidRPr="00EE4C04">
              <w:rPr>
                <w:rFonts w:eastAsia="Tempora LGC Uni"/>
                <w:b/>
                <w:bCs/>
                <w:sz w:val="22"/>
                <w:szCs w:val="22"/>
              </w:rPr>
              <w:t>.2026</w:t>
            </w:r>
          </w:p>
        </w:tc>
      </w:tr>
    </w:tbl>
    <w:p w:rsidR="00CB6152" w:rsidRPr="00EE4C04" w:rsidRDefault="00CB6152">
      <w:pPr>
        <w:rPr>
          <w:sz w:val="22"/>
          <w:szCs w:val="22"/>
        </w:rPr>
      </w:pP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 w:rsidR="00CB6152" w:rsidRPr="00EE4C04"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center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2. Содержание сообщения</w:t>
            </w:r>
          </w:p>
        </w:tc>
      </w:tr>
      <w:tr w:rsidR="00CB6152" w:rsidRPr="00EE4C04">
        <w:trPr>
          <w:trHeight w:val="1484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ind w:left="113" w:right="113"/>
              <w:jc w:val="both"/>
              <w:rPr>
                <w:bCs/>
                <w:color w:val="000000"/>
                <w:sz w:val="22"/>
                <w:szCs w:val="22"/>
              </w:rPr>
            </w:pPr>
            <w:r w:rsidRPr="00EE4C04">
              <w:rPr>
                <w:rFonts w:eastAsia="Tempora LGC Uni"/>
                <w:color w:val="000000"/>
                <w:sz w:val="22"/>
                <w:szCs w:val="22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эмитента: </w:t>
            </w:r>
            <w:r w:rsidR="0024173B" w:rsidRPr="00EE4C04">
              <w:rPr>
                <w:rFonts w:eastAsia="Tempora LGC Uni"/>
                <w:color w:val="000000"/>
                <w:sz w:val="22"/>
                <w:szCs w:val="22"/>
              </w:rPr>
              <w:t>06</w:t>
            </w:r>
            <w:r w:rsidRPr="00EE4C04">
              <w:rPr>
                <w:rFonts w:eastAsia="Tempora LGC Uni"/>
                <w:color w:val="000000"/>
                <w:sz w:val="22"/>
                <w:szCs w:val="22"/>
              </w:rPr>
              <w:t>.0</w:t>
            </w:r>
            <w:r w:rsidR="0024173B" w:rsidRPr="00EE4C04">
              <w:rPr>
                <w:rFonts w:eastAsia="Tempora LGC Uni"/>
                <w:color w:val="000000"/>
                <w:sz w:val="22"/>
                <w:szCs w:val="22"/>
              </w:rPr>
              <w:t>5</w:t>
            </w:r>
            <w:r w:rsidRPr="00EE4C04">
              <w:rPr>
                <w:rFonts w:eastAsia="Tempora LGC Uni"/>
                <w:color w:val="000000"/>
                <w:sz w:val="22"/>
                <w:szCs w:val="22"/>
              </w:rPr>
              <w:t>.2026</w:t>
            </w:r>
            <w:r w:rsidRPr="00EE4C04">
              <w:rPr>
                <w:rFonts w:eastAsia="Tempora LGC Uni"/>
                <w:bCs/>
                <w:color w:val="000000"/>
                <w:sz w:val="22"/>
                <w:szCs w:val="22"/>
              </w:rPr>
              <w:t>.</w:t>
            </w:r>
          </w:p>
          <w:p w:rsidR="00CB6152" w:rsidRPr="00EE4C04" w:rsidRDefault="00EE4C04">
            <w:pPr>
              <w:ind w:left="113" w:right="113"/>
              <w:jc w:val="both"/>
              <w:rPr>
                <w:rFonts w:eastAsia="Tempora LGC Uni"/>
                <w:bCs/>
                <w:color w:val="000000"/>
                <w:sz w:val="22"/>
                <w:szCs w:val="22"/>
              </w:rPr>
            </w:pPr>
            <w:r w:rsidRPr="00EE4C04">
              <w:rPr>
                <w:rFonts w:eastAsia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 w:rsidR="0024173B" w:rsidRPr="00EE4C04">
              <w:rPr>
                <w:rFonts w:eastAsia="Tempora LGC Uni"/>
                <w:color w:val="000000"/>
                <w:sz w:val="22"/>
                <w:szCs w:val="22"/>
              </w:rPr>
              <w:t>1</w:t>
            </w:r>
            <w:r w:rsidRPr="00EE4C04">
              <w:rPr>
                <w:rFonts w:eastAsia="Tempora LGC Uni"/>
                <w:color w:val="000000"/>
                <w:sz w:val="22"/>
                <w:szCs w:val="22"/>
              </w:rPr>
              <w:t>3.0</w:t>
            </w:r>
            <w:r w:rsidR="0024173B" w:rsidRPr="00EE4C04">
              <w:rPr>
                <w:rFonts w:eastAsia="Tempora LGC Uni"/>
                <w:color w:val="000000"/>
                <w:sz w:val="22"/>
                <w:szCs w:val="22"/>
              </w:rPr>
              <w:t>5</w:t>
            </w:r>
            <w:r w:rsidRPr="00EE4C04">
              <w:rPr>
                <w:rFonts w:eastAsia="Tempora LGC Uni"/>
                <w:color w:val="000000"/>
                <w:sz w:val="22"/>
                <w:szCs w:val="22"/>
              </w:rPr>
              <w:t>.</w:t>
            </w:r>
            <w:r w:rsidRPr="00EE4C04">
              <w:rPr>
                <w:rFonts w:eastAsia="Tempora LGC Uni"/>
                <w:color w:val="000000"/>
                <w:sz w:val="22"/>
                <w:szCs w:val="22"/>
              </w:rPr>
              <w:t>2026</w:t>
            </w:r>
            <w:r w:rsidRPr="00EE4C04">
              <w:rPr>
                <w:rFonts w:eastAsia="Tempora LGC Uni"/>
                <w:bCs/>
                <w:color w:val="000000"/>
                <w:sz w:val="22"/>
                <w:szCs w:val="22"/>
              </w:rPr>
              <w:t>.</w:t>
            </w:r>
          </w:p>
          <w:p w:rsidR="00CB6152" w:rsidRPr="00EE4C04" w:rsidRDefault="00EE4C04">
            <w:pPr>
              <w:ind w:left="113" w:right="113"/>
              <w:jc w:val="both"/>
              <w:rPr>
                <w:color w:val="000000"/>
                <w:sz w:val="22"/>
                <w:szCs w:val="22"/>
              </w:rPr>
            </w:pPr>
            <w:r w:rsidRPr="00EE4C04">
              <w:rPr>
                <w:rFonts w:eastAsia="Tempora LGC Uni"/>
                <w:color w:val="000000"/>
                <w:sz w:val="22"/>
                <w:szCs w:val="22"/>
              </w:rPr>
              <w:t>2.3.  Повестка дня заседания совета директоров эмитента:</w:t>
            </w:r>
          </w:p>
          <w:p w:rsidR="00CB6152" w:rsidRPr="00EE4C04" w:rsidRDefault="00EE4C04">
            <w:pPr>
              <w:ind w:left="113" w:right="113"/>
              <w:contextualSpacing/>
              <w:jc w:val="both"/>
              <w:rPr>
                <w:rFonts w:eastAsia="Tempora LGC Uni"/>
                <w:b/>
                <w:bCs/>
                <w:color w:val="000000"/>
                <w:sz w:val="22"/>
                <w:szCs w:val="22"/>
              </w:rPr>
            </w:pPr>
            <w:r w:rsidRPr="00EE4C04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24173B" w:rsidRPr="00EE4C04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О проведении годового заседания Общего собрания акционеров Общества и других вопросах, связанных с подготовкой к заседанию и принятием решений Общим собранием акционеров</w:t>
            </w:r>
            <w:r w:rsidRPr="00EE4C04">
              <w:rPr>
                <w:rFonts w:eastAsia="Tempora LGC Uni"/>
                <w:b/>
                <w:bCs/>
                <w:color w:val="000000"/>
                <w:sz w:val="22"/>
                <w:szCs w:val="22"/>
              </w:rPr>
              <w:t>.</w:t>
            </w:r>
          </w:p>
          <w:p w:rsidR="00CB6152" w:rsidRPr="00EE4C04" w:rsidRDefault="0024173B" w:rsidP="0024173B">
            <w:pPr>
              <w:ind w:left="142" w:right="57"/>
              <w:jc w:val="both"/>
              <w:rPr>
                <w:color w:val="000000"/>
                <w:sz w:val="22"/>
                <w:szCs w:val="22"/>
              </w:rPr>
            </w:pPr>
            <w:r w:rsidRPr="00EE4C04">
              <w:rPr>
                <w:color w:val="000000"/>
                <w:sz w:val="22"/>
                <w:szCs w:val="22"/>
              </w:rPr>
              <w:t xml:space="preserve">2.4. В случае если повестка дня заседания совета </w:t>
            </w:r>
            <w:bookmarkStart w:id="0" w:name="_GoBack"/>
            <w:bookmarkEnd w:id="0"/>
            <w:r w:rsidRPr="00EE4C04">
              <w:rPr>
                <w:color w:val="000000"/>
                <w:sz w:val="22"/>
                <w:szCs w:val="22"/>
              </w:rPr>
              <w:t xml:space="preserve">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бумаг: акции обыкновенные, государственный регистрационный номер 1-02-65105-D от 19.04.2007, международный код (номер) идентификации ценных бумаг (ISIN): </w:t>
            </w:r>
            <w:bookmarkStart w:id="1" w:name="undefined"/>
            <w:r w:rsidRPr="00EE4C04">
              <w:rPr>
                <w:color w:val="000000"/>
                <w:sz w:val="22"/>
                <w:szCs w:val="22"/>
              </w:rPr>
              <w:t>RU000A0JNG55</w:t>
            </w:r>
            <w:bookmarkEnd w:id="1"/>
            <w:r w:rsidRPr="00EE4C04">
              <w:rPr>
                <w:color w:val="000000"/>
                <w:sz w:val="22"/>
                <w:szCs w:val="22"/>
              </w:rPr>
              <w:t>, международный код классификации финансовых инструментов (CFI) ESVXFR.</w:t>
            </w:r>
          </w:p>
        </w:tc>
      </w:tr>
    </w:tbl>
    <w:p w:rsidR="00CB6152" w:rsidRPr="00EE4C04" w:rsidRDefault="00CB6152">
      <w:pPr>
        <w:ind w:left="57"/>
        <w:rPr>
          <w:sz w:val="22"/>
          <w:szCs w:val="22"/>
        </w:rPr>
      </w:pP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 w:rsidR="00CB6152" w:rsidRPr="00EE4C04">
        <w:trPr>
          <w:cantSplit/>
          <w:trHeight w:val="248"/>
        </w:trPr>
        <w:tc>
          <w:tcPr>
            <w:tcW w:w="10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152" w:rsidRPr="00EE4C04" w:rsidRDefault="00EE4C04">
            <w:pPr>
              <w:jc w:val="center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3. Подпись</w:t>
            </w:r>
          </w:p>
        </w:tc>
      </w:tr>
      <w:tr w:rsidR="00CB6152" w:rsidRPr="00EE4C04">
        <w:trPr>
          <w:cantSplit/>
          <w:trHeight w:val="859"/>
        </w:trPr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CB6152" w:rsidRPr="00EE4C04" w:rsidRDefault="00EE4C04">
            <w:pPr>
              <w:pStyle w:val="af4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EE4C04">
              <w:rPr>
                <w:rFonts w:eastAsia="Tempora LGC Uni" w:cs="Times New Roman"/>
                <w:b/>
                <w:sz w:val="22"/>
                <w:szCs w:val="22"/>
              </w:rPr>
              <w:t xml:space="preserve">3.1. </w:t>
            </w:r>
            <w:r w:rsidRPr="00EE4C04">
              <w:rPr>
                <w:rFonts w:eastAsia="Tempora LGC Uni" w:cs="Times New Roman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№78/362-н/78-2025-3-1278 </w:t>
            </w:r>
          </w:p>
          <w:p w:rsidR="00CB6152" w:rsidRPr="00EE4C04" w:rsidRDefault="00EE4C04">
            <w:pPr>
              <w:pStyle w:val="af4"/>
              <w:rPr>
                <w:rFonts w:cs="Times New Roman"/>
                <w:sz w:val="22"/>
                <w:szCs w:val="22"/>
              </w:rPr>
            </w:pPr>
            <w:r w:rsidRPr="00EE4C04">
              <w:rPr>
                <w:rFonts w:eastAsia="Tempora LGC Uni" w:cs="Times New Roman"/>
                <w:b/>
                <w:color w:val="000000"/>
                <w:sz w:val="22"/>
                <w:szCs w:val="22"/>
              </w:rPr>
              <w:t>от 10.12.2025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B6152" w:rsidRPr="00EE4C04" w:rsidRDefault="00CB615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CB6152" w:rsidRPr="00EE4C04" w:rsidRDefault="00EE4C04">
            <w:pPr>
              <w:jc w:val="right"/>
              <w:rPr>
                <w:sz w:val="22"/>
                <w:szCs w:val="22"/>
              </w:rPr>
            </w:pPr>
            <w:r w:rsidRPr="00EE4C04">
              <w:rPr>
                <w:rFonts w:eastAsia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15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CB6152" w:rsidRPr="00EE4C04" w:rsidRDefault="00CB6152">
            <w:pPr>
              <w:rPr>
                <w:b/>
                <w:sz w:val="22"/>
                <w:szCs w:val="22"/>
              </w:rPr>
            </w:pPr>
          </w:p>
        </w:tc>
      </w:tr>
      <w:tr w:rsidR="00CB6152" w:rsidRPr="00EE4C04">
        <w:trPr>
          <w:cantSplit/>
          <w:trHeight w:hRule="exact" w:val="280"/>
        </w:trPr>
        <w:tc>
          <w:tcPr>
            <w:tcW w:w="5221" w:type="dxa"/>
            <w:gridSpan w:val="7"/>
            <w:tcBorders>
              <w:left w:val="single" w:sz="4" w:space="0" w:color="000000"/>
            </w:tcBorders>
          </w:tcPr>
          <w:p w:rsidR="00CB6152" w:rsidRPr="00EE4C04" w:rsidRDefault="00CB6152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CB6152" w:rsidRPr="00EE4C04" w:rsidRDefault="00EE4C04">
            <w:pPr>
              <w:jc w:val="center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CB6152" w:rsidRPr="00EE4C04" w:rsidRDefault="00CB6152">
            <w:pPr>
              <w:rPr>
                <w:sz w:val="22"/>
                <w:szCs w:val="22"/>
              </w:rPr>
            </w:pPr>
          </w:p>
        </w:tc>
        <w:tc>
          <w:tcPr>
            <w:tcW w:w="150" w:type="dxa"/>
            <w:tcBorders>
              <w:right w:val="single" w:sz="4" w:space="0" w:color="000000"/>
            </w:tcBorders>
          </w:tcPr>
          <w:p w:rsidR="00CB6152" w:rsidRPr="00EE4C04" w:rsidRDefault="00CB6152">
            <w:pPr>
              <w:rPr>
                <w:sz w:val="22"/>
                <w:szCs w:val="22"/>
              </w:rPr>
            </w:pPr>
          </w:p>
        </w:tc>
      </w:tr>
      <w:tr w:rsidR="00CB6152" w:rsidRPr="00EE4C04">
        <w:trPr>
          <w:cantSplit/>
          <w:trHeight w:val="234"/>
        </w:trPr>
        <w:tc>
          <w:tcPr>
            <w:tcW w:w="1231" w:type="dxa"/>
            <w:tcBorders>
              <w:left w:val="single" w:sz="4" w:space="0" w:color="000000"/>
            </w:tcBorders>
            <w:vAlign w:val="bottom"/>
          </w:tcPr>
          <w:p w:rsidR="00CB6152" w:rsidRPr="00EE4C04" w:rsidRDefault="00EE4C04">
            <w:pPr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3.2. Дата    “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bottom"/>
          </w:tcPr>
          <w:p w:rsidR="00CB6152" w:rsidRPr="00EE4C04" w:rsidRDefault="0024173B">
            <w:pPr>
              <w:jc w:val="center"/>
              <w:rPr>
                <w:sz w:val="22"/>
                <w:szCs w:val="22"/>
              </w:rPr>
            </w:pPr>
            <w:r w:rsidRPr="00EE4C04">
              <w:rPr>
                <w:sz w:val="22"/>
                <w:szCs w:val="22"/>
              </w:rPr>
              <w:t>07</w:t>
            </w:r>
          </w:p>
        </w:tc>
        <w:tc>
          <w:tcPr>
            <w:tcW w:w="384" w:type="dxa"/>
            <w:vAlign w:val="bottom"/>
          </w:tcPr>
          <w:p w:rsidR="00CB6152" w:rsidRPr="00EE4C04" w:rsidRDefault="00EE4C04">
            <w:pPr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”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vAlign w:val="bottom"/>
          </w:tcPr>
          <w:p w:rsidR="00CB6152" w:rsidRPr="00EE4C04" w:rsidRDefault="00EE4C04" w:rsidP="0024173B">
            <w:pPr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 xml:space="preserve"> </w:t>
            </w:r>
            <w:r w:rsidR="0024173B" w:rsidRPr="00EE4C04">
              <w:rPr>
                <w:rFonts w:eastAsia="Tempora LGC Uni"/>
                <w:sz w:val="22"/>
                <w:szCs w:val="22"/>
              </w:rPr>
              <w:t>мая</w:t>
            </w:r>
          </w:p>
        </w:tc>
        <w:tc>
          <w:tcPr>
            <w:tcW w:w="416" w:type="dxa"/>
            <w:vAlign w:val="bottom"/>
          </w:tcPr>
          <w:p w:rsidR="00CB6152" w:rsidRPr="00EE4C04" w:rsidRDefault="00EE4C04">
            <w:pPr>
              <w:jc w:val="right"/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CB6152" w:rsidRPr="00EE4C04" w:rsidRDefault="00EE4C04">
            <w:pPr>
              <w:rPr>
                <w:sz w:val="22"/>
                <w:szCs w:val="22"/>
              </w:rPr>
            </w:pPr>
            <w:r w:rsidRPr="00EE4C04">
              <w:rPr>
                <w:rFonts w:eastAsia="Tempora LGC Uni"/>
                <w:sz w:val="22"/>
                <w:szCs w:val="22"/>
              </w:rPr>
              <w:t>26</w:t>
            </w:r>
          </w:p>
        </w:tc>
        <w:tc>
          <w:tcPr>
            <w:tcW w:w="1209" w:type="dxa"/>
            <w:vAlign w:val="bottom"/>
          </w:tcPr>
          <w:p w:rsidR="00CB6152" w:rsidRPr="00EE4C04" w:rsidRDefault="00CB6152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bottom"/>
          </w:tcPr>
          <w:p w:rsidR="00CB6152" w:rsidRPr="00EE4C04" w:rsidRDefault="00CB6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right w:val="single" w:sz="4" w:space="0" w:color="000000"/>
            </w:tcBorders>
            <w:vAlign w:val="bottom"/>
          </w:tcPr>
          <w:p w:rsidR="00CB6152" w:rsidRPr="00EE4C04" w:rsidRDefault="00CB6152">
            <w:pPr>
              <w:rPr>
                <w:sz w:val="22"/>
                <w:szCs w:val="22"/>
              </w:rPr>
            </w:pPr>
          </w:p>
        </w:tc>
      </w:tr>
      <w:tr w:rsidR="00CB6152" w:rsidRPr="00EE4C04">
        <w:trPr>
          <w:cantSplit/>
        </w:trPr>
        <w:tc>
          <w:tcPr>
            <w:tcW w:w="52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CB6152" w:rsidRPr="00EE4C04" w:rsidRDefault="00CB6152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CB6152" w:rsidRPr="00EE4C04" w:rsidRDefault="00CB61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CB6152" w:rsidRPr="00EE4C04" w:rsidRDefault="00CB6152">
            <w:pPr>
              <w:rPr>
                <w:sz w:val="22"/>
                <w:szCs w:val="22"/>
              </w:rPr>
            </w:pPr>
          </w:p>
        </w:tc>
      </w:tr>
    </w:tbl>
    <w:p w:rsidR="00CB6152" w:rsidRPr="00EE4C04" w:rsidRDefault="00CB6152">
      <w:pPr>
        <w:rPr>
          <w:sz w:val="22"/>
          <w:szCs w:val="22"/>
        </w:rPr>
      </w:pPr>
    </w:p>
    <w:sectPr w:rsidR="00CB6152" w:rsidRPr="00EE4C04">
      <w:pgSz w:w="11906" w:h="16838"/>
      <w:pgMar w:top="851" w:right="851" w:bottom="851" w:left="1701" w:header="28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152" w:rsidRDefault="00EE4C04">
      <w:r>
        <w:separator/>
      </w:r>
    </w:p>
  </w:endnote>
  <w:endnote w:type="continuationSeparator" w:id="0">
    <w:p w:rsidR="00CB6152" w:rsidRDefault="00EE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Franklin Gothic Medium Cond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152" w:rsidRDefault="00EE4C04">
      <w:r>
        <w:separator/>
      </w:r>
    </w:p>
  </w:footnote>
  <w:footnote w:type="continuationSeparator" w:id="0">
    <w:p w:rsidR="00CB6152" w:rsidRDefault="00EE4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D5C16"/>
    <w:multiLevelType w:val="multilevel"/>
    <w:tmpl w:val="8A5435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52"/>
    <w:rsid w:val="0024173B"/>
    <w:rsid w:val="00CB6152"/>
    <w:rsid w:val="00EE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5887C-AEED-4482-A8C7-A2F37E5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WW8Num3z0">
    <w:name w:val="WW8Num3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20z0">
    <w:name w:val="WW8Num20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sz w:val="26"/>
      <w:szCs w:val="26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color w:val="000000"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character" w:customStyle="1" w:styleId="20">
    <w:name w:val="Основной текст с отступом 2 Знак"/>
    <w:qFormat/>
    <w:rPr>
      <w:sz w:val="28"/>
      <w:szCs w:val="24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b">
    <w:name w:val="Обычный (веб) Знак"/>
    <w:qFormat/>
    <w:rPr>
      <w:rFonts w:eastAsia="Calibri"/>
      <w:sz w:val="24"/>
      <w:szCs w:val="24"/>
      <w:lang w:val="en-GB"/>
    </w:rPr>
  </w:style>
  <w:style w:type="character" w:styleId="ac">
    <w:name w:val="Strong"/>
    <w:qFormat/>
    <w:rPr>
      <w:b/>
      <w:bCs/>
    </w:rPr>
  </w:style>
  <w:style w:type="character" w:customStyle="1" w:styleId="Style12ptBoldItalic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ad">
    <w:name w:val="FollowedHyperlink"/>
    <w:rPr>
      <w:color w:val="954F72"/>
      <w:u w:val="single"/>
    </w:rPr>
  </w:style>
  <w:style w:type="character" w:customStyle="1" w:styleId="ae">
    <w:name w:val="Символ нумераци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ohit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f"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</w:style>
  <w:style w:type="paragraph" w:styleId="af5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</w:style>
  <w:style w:type="paragraph" w:styleId="afd">
    <w:name w:val="table of figures"/>
    <w:basedOn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e">
    <w:name w:val="header"/>
    <w:basedOn w:val="a"/>
    <w:pPr>
      <w:tabs>
        <w:tab w:val="center" w:pos="4153"/>
        <w:tab w:val="right" w:pos="8306"/>
      </w:tabs>
    </w:p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prilozhenie">
    <w:name w:val="prilozhenie"/>
    <w:basedOn w:val="a"/>
    <w:qFormat/>
    <w:pPr>
      <w:ind w:firstLine="709"/>
      <w:jc w:val="both"/>
    </w:pPr>
    <w:rPr>
      <w:sz w:val="24"/>
      <w:szCs w:val="24"/>
    </w:rPr>
  </w:style>
  <w:style w:type="paragraph" w:styleId="23">
    <w:name w:val="Body Text Indent 2"/>
    <w:basedOn w:val="a"/>
    <w:qFormat/>
    <w:pPr>
      <w:spacing w:after="120" w:line="480" w:lineRule="auto"/>
      <w:ind w:left="283" w:firstLine="709"/>
      <w:jc w:val="both"/>
    </w:pPr>
    <w:rPr>
      <w:sz w:val="28"/>
      <w:szCs w:val="24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customStyle="1" w:styleId="ConsPlusNormal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aff0">
    <w:name w:val="Normal (Web)"/>
    <w:basedOn w:val="a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</w:style>
  <w:style w:type="table" w:styleId="aff4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42">
    <w:name w:val="Абзац 4"/>
    <w:basedOn w:val="aff3"/>
    <w: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Theme="minorEastAsia" w:cstheme="minorBidi"/>
      <w:sz w:val="24"/>
      <w:szCs w:val="22"/>
      <w:lang w:eastAsia="ru-RU"/>
    </w:rPr>
  </w:style>
  <w:style w:type="paragraph" w:customStyle="1" w:styleId="32">
    <w:name w:val="Абзац 3"/>
    <w:basedOn w:val="a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customStyle="1" w:styleId="docdata">
    <w:name w:val="docdata"/>
    <w:basedOn w:val="a0"/>
  </w:style>
  <w:style w:type="paragraph" w:customStyle="1" w:styleId="1560">
    <w:name w:val="1560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24">
    <w:name w:val="1624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76">
    <w:name w:val="2076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02">
    <w:name w:val="1702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50">
    <w:name w:val="1650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7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gk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cp:lastModifiedBy>Осин Виктор Николаевич</cp:lastModifiedBy>
  <cp:revision>16</cp:revision>
  <dcterms:created xsi:type="dcterms:W3CDTF">2025-08-13T06:44:00Z</dcterms:created>
  <dcterms:modified xsi:type="dcterms:W3CDTF">2026-05-06T14:23:00Z</dcterms:modified>
  <dc:language>ru-RU</dc:language>
</cp:coreProperties>
</file>