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342F3" w14:textId="77777777" w:rsidR="00C84AAB" w:rsidRDefault="007F673C" w:rsidP="007F673C">
      <w:pPr>
        <w:jc w:val="center"/>
        <w:rPr>
          <w:b/>
          <w:sz w:val="22"/>
          <w:szCs w:val="22"/>
        </w:rPr>
      </w:pPr>
      <w:r w:rsidRPr="00666B00">
        <w:rPr>
          <w:b/>
          <w:sz w:val="22"/>
          <w:szCs w:val="22"/>
        </w:rPr>
        <w:t xml:space="preserve">Сообщение о существенном факте </w:t>
      </w:r>
    </w:p>
    <w:p w14:paraId="101C4A55" w14:textId="77777777" w:rsidR="009243F9" w:rsidRDefault="00C84AAB" w:rsidP="009243F9">
      <w:pPr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8B1E4B" w:rsidRPr="008B1E4B">
        <w:rPr>
          <w:b/>
          <w:sz w:val="22"/>
          <w:szCs w:val="22"/>
        </w:rPr>
        <w:t>Об иных событиях (действиях), оказывающих, по мнению эмитента, существенное влияние на стоимость или котировки его ценных бумаг</w:t>
      </w:r>
      <w:r>
        <w:rPr>
          <w:b/>
          <w:sz w:val="22"/>
          <w:szCs w:val="22"/>
        </w:rPr>
        <w:t>»</w:t>
      </w:r>
    </w:p>
    <w:p w14:paraId="285C61A4" w14:textId="77777777" w:rsidR="007F673C" w:rsidRPr="00EA4D78" w:rsidRDefault="007F673C" w:rsidP="009243F9">
      <w:pPr>
        <w:adjustRightInd w:val="0"/>
        <w:jc w:val="both"/>
        <w:rPr>
          <w:b/>
          <w:sz w:val="22"/>
          <w:szCs w:val="22"/>
        </w:rPr>
      </w:pPr>
    </w:p>
    <w:tbl>
      <w:tblPr>
        <w:tblW w:w="100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4"/>
        <w:gridCol w:w="4963"/>
      </w:tblGrid>
      <w:tr w:rsidR="0080633A" w:rsidRPr="00EA4D78" w14:paraId="481FC705" w14:textId="77777777" w:rsidTr="001E6D18">
        <w:trPr>
          <w:cantSplit/>
          <w:trHeight w:val="284"/>
        </w:trPr>
        <w:tc>
          <w:tcPr>
            <w:tcW w:w="10057" w:type="dxa"/>
            <w:gridSpan w:val="2"/>
            <w:vAlign w:val="center"/>
          </w:tcPr>
          <w:p w14:paraId="7B1AA458" w14:textId="77777777" w:rsidR="007F673C" w:rsidRPr="00EA4D78" w:rsidRDefault="007F673C" w:rsidP="001E6D18">
            <w:pPr>
              <w:jc w:val="center"/>
              <w:rPr>
                <w:sz w:val="22"/>
                <w:szCs w:val="22"/>
              </w:rPr>
            </w:pPr>
            <w:r w:rsidRPr="00EA4D78">
              <w:rPr>
                <w:sz w:val="22"/>
                <w:szCs w:val="22"/>
              </w:rPr>
              <w:t>1. Общие сведения</w:t>
            </w:r>
          </w:p>
        </w:tc>
      </w:tr>
      <w:tr w:rsidR="006A023E" w:rsidRPr="00EA4D78" w14:paraId="3BECC20E" w14:textId="77777777" w:rsidTr="006E5AD1">
        <w:trPr>
          <w:trHeight w:val="285"/>
        </w:trPr>
        <w:tc>
          <w:tcPr>
            <w:tcW w:w="5094" w:type="dxa"/>
          </w:tcPr>
          <w:p w14:paraId="0622D8D2" w14:textId="77777777" w:rsidR="006A023E" w:rsidRDefault="006A023E" w:rsidP="006A023E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 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4963" w:type="dxa"/>
            <w:vAlign w:val="center"/>
          </w:tcPr>
          <w:p w14:paraId="01E4A724" w14:textId="77AC2AA4" w:rsidR="006A023E" w:rsidRPr="007C4B19" w:rsidRDefault="006A023E" w:rsidP="006A02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6A023E" w:rsidRPr="00EA4D78" w14:paraId="121A319E" w14:textId="77777777" w:rsidTr="006E5AD1">
        <w:trPr>
          <w:trHeight w:val="285"/>
        </w:trPr>
        <w:tc>
          <w:tcPr>
            <w:tcW w:w="5094" w:type="dxa"/>
          </w:tcPr>
          <w:p w14:paraId="04DD72DA" w14:textId="77777777" w:rsidR="006A023E" w:rsidRDefault="006A023E" w:rsidP="006A023E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4963" w:type="dxa"/>
            <w:vAlign w:val="center"/>
          </w:tcPr>
          <w:p w14:paraId="3E8BBE8E" w14:textId="738D02EB" w:rsidR="006A023E" w:rsidRPr="007C4B19" w:rsidRDefault="006A023E" w:rsidP="006A02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 xml:space="preserve">356126, Ставропольский край, р-н </w:t>
            </w:r>
            <w:proofErr w:type="spellStart"/>
            <w:r w:rsidRPr="009D22C7">
              <w:rPr>
                <w:b/>
                <w:bCs/>
                <w:i/>
                <w:iCs/>
                <w:sz w:val="22"/>
                <w:szCs w:val="22"/>
              </w:rPr>
              <w:t>Изобильненский</w:t>
            </w:r>
            <w:proofErr w:type="spellEnd"/>
            <w:r w:rsidRPr="009D22C7">
              <w:rPr>
                <w:b/>
                <w:bCs/>
                <w:i/>
                <w:iCs/>
                <w:sz w:val="22"/>
                <w:szCs w:val="22"/>
              </w:rPr>
              <w:t xml:space="preserve">, п. </w:t>
            </w:r>
            <w:proofErr w:type="spellStart"/>
            <w:r w:rsidRPr="009D22C7">
              <w:rPr>
                <w:b/>
                <w:bCs/>
                <w:i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6A023E" w:rsidRPr="00EA4D78" w14:paraId="7ADEC44D" w14:textId="77777777" w:rsidTr="006E5AD1">
        <w:trPr>
          <w:trHeight w:val="285"/>
        </w:trPr>
        <w:tc>
          <w:tcPr>
            <w:tcW w:w="5094" w:type="dxa"/>
          </w:tcPr>
          <w:p w14:paraId="11EE40AF" w14:textId="77777777" w:rsidR="006A023E" w:rsidRDefault="006A023E" w:rsidP="006A023E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 Основной государственный регистрационный номер (ОГРН) эмитента (при наличии):</w:t>
            </w:r>
          </w:p>
        </w:tc>
        <w:tc>
          <w:tcPr>
            <w:tcW w:w="4963" w:type="dxa"/>
            <w:vAlign w:val="center"/>
          </w:tcPr>
          <w:p w14:paraId="7C343B95" w14:textId="760A05D5" w:rsidR="006A023E" w:rsidRPr="007C4B19" w:rsidRDefault="006A023E" w:rsidP="006A02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1052600002180</w:t>
            </w:r>
          </w:p>
        </w:tc>
      </w:tr>
      <w:tr w:rsidR="006A023E" w:rsidRPr="00EA4D78" w14:paraId="6B1366C4" w14:textId="77777777" w:rsidTr="006E5AD1">
        <w:trPr>
          <w:trHeight w:val="285"/>
        </w:trPr>
        <w:tc>
          <w:tcPr>
            <w:tcW w:w="5094" w:type="dxa"/>
          </w:tcPr>
          <w:p w14:paraId="4F1DC3DE" w14:textId="77777777" w:rsidR="006A023E" w:rsidRDefault="006A023E" w:rsidP="006A023E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 Идентификационный номер налогоплательщика (ИНН) эмитента (при наличии):</w:t>
            </w:r>
          </w:p>
        </w:tc>
        <w:tc>
          <w:tcPr>
            <w:tcW w:w="4963" w:type="dxa"/>
            <w:vAlign w:val="center"/>
          </w:tcPr>
          <w:p w14:paraId="43F00C44" w14:textId="74109002" w:rsidR="006A023E" w:rsidRPr="007C4B19" w:rsidRDefault="006A023E" w:rsidP="006A02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2607018122</w:t>
            </w:r>
          </w:p>
        </w:tc>
      </w:tr>
      <w:tr w:rsidR="006A023E" w:rsidRPr="00EA4D78" w14:paraId="2823A4CC" w14:textId="77777777" w:rsidTr="006E5AD1">
        <w:trPr>
          <w:trHeight w:val="285"/>
        </w:trPr>
        <w:tc>
          <w:tcPr>
            <w:tcW w:w="5094" w:type="dxa"/>
          </w:tcPr>
          <w:p w14:paraId="625A53C7" w14:textId="77777777" w:rsidR="006A023E" w:rsidRDefault="006A023E" w:rsidP="006A023E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 Уникальный код эмитента, присвоенный Банком России:</w:t>
            </w:r>
          </w:p>
        </w:tc>
        <w:tc>
          <w:tcPr>
            <w:tcW w:w="4963" w:type="dxa"/>
            <w:vAlign w:val="center"/>
          </w:tcPr>
          <w:p w14:paraId="3E4CECC2" w14:textId="3222B948" w:rsidR="006A023E" w:rsidRPr="007C4B19" w:rsidRDefault="006A023E" w:rsidP="006A02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65105-D</w:t>
            </w:r>
          </w:p>
        </w:tc>
      </w:tr>
      <w:tr w:rsidR="006A023E" w:rsidRPr="00EA4D78" w14:paraId="51478539" w14:textId="77777777" w:rsidTr="006E5AD1">
        <w:trPr>
          <w:trHeight w:val="285"/>
        </w:trPr>
        <w:tc>
          <w:tcPr>
            <w:tcW w:w="5094" w:type="dxa"/>
          </w:tcPr>
          <w:p w14:paraId="7A75E32C" w14:textId="77777777" w:rsidR="006A023E" w:rsidRDefault="006A023E" w:rsidP="006A023E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 Адрес страницы в сети "Интернет", используемой эмитентом для раскрытия информации:</w:t>
            </w:r>
          </w:p>
        </w:tc>
        <w:tc>
          <w:tcPr>
            <w:tcW w:w="4963" w:type="dxa"/>
            <w:vAlign w:val="center"/>
          </w:tcPr>
          <w:p w14:paraId="78164B5F" w14:textId="77777777" w:rsidR="006A023E" w:rsidRPr="009D22C7" w:rsidRDefault="006A023E" w:rsidP="006A02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https://www.ogk2.ru</w:t>
            </w:r>
          </w:p>
          <w:p w14:paraId="661F13CD" w14:textId="0A567294" w:rsidR="006A023E" w:rsidRPr="007C4B19" w:rsidRDefault="006A023E" w:rsidP="006A02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https://www.e-disclosure.ru/portal/company.aspx?id=7234</w:t>
            </w:r>
          </w:p>
        </w:tc>
      </w:tr>
      <w:tr w:rsidR="006A023E" w:rsidRPr="00EA4D78" w14:paraId="0CAEEA68" w14:textId="77777777" w:rsidTr="006E5AD1">
        <w:trPr>
          <w:trHeight w:val="285"/>
        </w:trPr>
        <w:tc>
          <w:tcPr>
            <w:tcW w:w="5094" w:type="dxa"/>
          </w:tcPr>
          <w:p w14:paraId="3FCECF2C" w14:textId="77777777" w:rsidR="006A023E" w:rsidRPr="00DE1871" w:rsidRDefault="006A023E" w:rsidP="006A023E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 w:rsidRPr="00DE1871">
              <w:rPr>
                <w:sz w:val="22"/>
                <w:szCs w:val="22"/>
                <w:lang w:eastAsia="en-US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4963" w:type="dxa"/>
            <w:vAlign w:val="center"/>
          </w:tcPr>
          <w:p w14:paraId="7BEEA14C" w14:textId="058DD636" w:rsidR="006A023E" w:rsidRPr="00466D34" w:rsidRDefault="006A023E" w:rsidP="006A023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</w:t>
            </w:r>
            <w:r w:rsidRPr="00C37060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07</w:t>
            </w:r>
            <w:r w:rsidRPr="00C37060">
              <w:rPr>
                <w:b/>
                <w:bCs/>
                <w:i/>
                <w:iCs/>
                <w:sz w:val="22"/>
                <w:szCs w:val="22"/>
              </w:rPr>
              <w:t>.2023</w:t>
            </w:r>
          </w:p>
        </w:tc>
      </w:tr>
    </w:tbl>
    <w:p w14:paraId="2D634CC2" w14:textId="77777777" w:rsidR="007F673C" w:rsidRPr="00EA4D78" w:rsidRDefault="007F673C" w:rsidP="007F673C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0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7"/>
      </w:tblGrid>
      <w:tr w:rsidR="0080633A" w:rsidRPr="00EA4D78" w14:paraId="2D4587F2" w14:textId="77777777" w:rsidTr="001E6D18">
        <w:trPr>
          <w:cantSplit/>
          <w:trHeight w:val="284"/>
        </w:trPr>
        <w:tc>
          <w:tcPr>
            <w:tcW w:w="10057" w:type="dxa"/>
            <w:vAlign w:val="center"/>
          </w:tcPr>
          <w:p w14:paraId="55847210" w14:textId="77777777" w:rsidR="007F673C" w:rsidRDefault="007F673C" w:rsidP="001E6D18">
            <w:pPr>
              <w:jc w:val="center"/>
              <w:rPr>
                <w:sz w:val="22"/>
                <w:szCs w:val="22"/>
              </w:rPr>
            </w:pPr>
            <w:r w:rsidRPr="00EA4D78">
              <w:rPr>
                <w:sz w:val="22"/>
                <w:szCs w:val="22"/>
              </w:rPr>
              <w:t>2. Содержание сообщения</w:t>
            </w:r>
          </w:p>
          <w:p w14:paraId="5518A382" w14:textId="77777777" w:rsidR="005D49A5" w:rsidRPr="00EA4D78" w:rsidRDefault="005D49A5" w:rsidP="006E5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«Исполнение э</w:t>
            </w:r>
            <w:r w:rsidRPr="005D49A5">
              <w:rPr>
                <w:sz w:val="22"/>
                <w:szCs w:val="22"/>
              </w:rPr>
              <w:t xml:space="preserve">митентом обязательств по приобретению </w:t>
            </w:r>
            <w:r w:rsidR="006E5AD1">
              <w:rPr>
                <w:sz w:val="22"/>
                <w:szCs w:val="22"/>
              </w:rPr>
              <w:t>Биржевых о</w:t>
            </w:r>
            <w:r w:rsidRPr="005D49A5">
              <w:rPr>
                <w:sz w:val="22"/>
                <w:szCs w:val="22"/>
              </w:rPr>
              <w:t>блигаций по требованию владельц</w:t>
            </w:r>
            <w:r>
              <w:rPr>
                <w:sz w:val="22"/>
                <w:szCs w:val="22"/>
              </w:rPr>
              <w:t>а (владельцев)»</w:t>
            </w:r>
          </w:p>
        </w:tc>
      </w:tr>
      <w:tr w:rsidR="0080633A" w:rsidRPr="00EA4D78" w14:paraId="36770BAD" w14:textId="77777777" w:rsidTr="001E6D18">
        <w:trPr>
          <w:trHeight w:val="284"/>
        </w:trPr>
        <w:tc>
          <w:tcPr>
            <w:tcW w:w="10057" w:type="dxa"/>
            <w:vAlign w:val="center"/>
          </w:tcPr>
          <w:p w14:paraId="5F7D20F5" w14:textId="77777777" w:rsidR="005D49A5" w:rsidRDefault="008B1E4B" w:rsidP="008B1E4B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  <w:r w:rsidRPr="008B1E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950A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950A3E">
              <w:t xml:space="preserve"> </w:t>
            </w:r>
            <w:r w:rsidR="00950A3E">
              <w:rPr>
                <w:sz w:val="22"/>
                <w:szCs w:val="22"/>
              </w:rPr>
              <w:t>К</w:t>
            </w:r>
            <w:r w:rsidR="00950A3E" w:rsidRPr="00950A3E">
              <w:rPr>
                <w:sz w:val="22"/>
                <w:szCs w:val="22"/>
              </w:rPr>
              <w:t>раткое описание события (действия), наступление (совершение) которого, по мнению эмитента, оказывает влияние на стоимость или котировки его ценных бумаг</w:t>
            </w:r>
            <w:r w:rsidR="00950A3E">
              <w:rPr>
                <w:sz w:val="22"/>
                <w:szCs w:val="22"/>
              </w:rPr>
              <w:t>:</w:t>
            </w:r>
          </w:p>
          <w:p w14:paraId="053AFE00" w14:textId="1260003C" w:rsidR="00854649" w:rsidRPr="00AD53C3" w:rsidRDefault="00854649" w:rsidP="00854649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D53C3">
              <w:rPr>
                <w:b/>
                <w:bCs/>
                <w:i/>
                <w:iCs/>
                <w:sz w:val="22"/>
                <w:szCs w:val="22"/>
              </w:rPr>
              <w:t xml:space="preserve">исполнение Эмитентом обязательств по приобретению </w:t>
            </w:r>
            <w:r w:rsidR="004A79FB">
              <w:rPr>
                <w:b/>
                <w:bCs/>
                <w:i/>
                <w:iCs/>
                <w:sz w:val="22"/>
                <w:szCs w:val="22"/>
              </w:rPr>
              <w:t>Биржевых о</w:t>
            </w:r>
            <w:r w:rsidRPr="00AD53C3">
              <w:rPr>
                <w:b/>
                <w:bCs/>
                <w:i/>
                <w:iCs/>
                <w:sz w:val="22"/>
                <w:szCs w:val="22"/>
              </w:rPr>
              <w:t xml:space="preserve">блигаций по требованию их владельца (владельцев). </w:t>
            </w:r>
          </w:p>
          <w:p w14:paraId="432F0038" w14:textId="489038D9" w:rsidR="00854649" w:rsidRPr="00AD53C3" w:rsidRDefault="00854649" w:rsidP="00854649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</w:t>
            </w:r>
            <w:r w:rsidRPr="00AD53C3">
              <w:rPr>
                <w:b/>
                <w:bCs/>
                <w:i/>
                <w:iCs/>
                <w:sz w:val="22"/>
                <w:szCs w:val="22"/>
              </w:rPr>
              <w:t xml:space="preserve">.07.2023 Эмитентом приобретены </w:t>
            </w:r>
            <w:r w:rsidR="004A79FB">
              <w:rPr>
                <w:b/>
                <w:bCs/>
                <w:i/>
                <w:iCs/>
                <w:sz w:val="22"/>
                <w:szCs w:val="22"/>
              </w:rPr>
              <w:t>Биржевые облигации</w:t>
            </w:r>
            <w:r w:rsidRPr="00AD53C3">
              <w:rPr>
                <w:b/>
                <w:bCs/>
                <w:i/>
                <w:iCs/>
                <w:sz w:val="22"/>
                <w:szCs w:val="22"/>
              </w:rPr>
              <w:t xml:space="preserve"> в количестве </w:t>
            </w:r>
            <w:r>
              <w:rPr>
                <w:b/>
                <w:bCs/>
                <w:i/>
                <w:iCs/>
                <w:sz w:val="22"/>
                <w:szCs w:val="22"/>
              </w:rPr>
              <w:t>411 795</w:t>
            </w:r>
            <w:r w:rsidRPr="00AD53C3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четыреста одиннадцать тысяч семьсот девяносто пять</w:t>
            </w:r>
            <w:r w:rsidRPr="00AD53C3">
              <w:rPr>
                <w:b/>
                <w:bCs/>
                <w:i/>
                <w:iCs/>
                <w:sz w:val="22"/>
                <w:szCs w:val="22"/>
              </w:rPr>
              <w:t xml:space="preserve">) штук по цене приобретения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Биржевых облигаций</w:t>
            </w:r>
            <w:r w:rsidRPr="00AD53C3">
              <w:rPr>
                <w:b/>
                <w:bCs/>
                <w:i/>
                <w:iCs/>
                <w:sz w:val="22"/>
                <w:szCs w:val="22"/>
              </w:rPr>
              <w:t xml:space="preserve">, определенной как 100 (сто) процентов от непогашенной части номинальной стоимости </w:t>
            </w:r>
            <w:r w:rsidR="004A79FB">
              <w:rPr>
                <w:b/>
                <w:bCs/>
                <w:i/>
                <w:iCs/>
                <w:sz w:val="22"/>
                <w:szCs w:val="22"/>
              </w:rPr>
              <w:t>Биржевых о</w:t>
            </w:r>
            <w:r w:rsidR="004A79FB" w:rsidRPr="00AD53C3">
              <w:rPr>
                <w:b/>
                <w:bCs/>
                <w:i/>
                <w:iCs/>
                <w:sz w:val="22"/>
                <w:szCs w:val="22"/>
              </w:rPr>
              <w:t xml:space="preserve">блигаций </w:t>
            </w:r>
            <w:r w:rsidRPr="00AD53C3">
              <w:rPr>
                <w:b/>
                <w:bCs/>
                <w:i/>
                <w:iCs/>
                <w:sz w:val="22"/>
                <w:szCs w:val="22"/>
              </w:rPr>
              <w:t xml:space="preserve">и составляющей 1000 (одна тысяча) рублей. При совершении сделок купли-продажи Эмитентом дополнительно выплачен накопленный купонный доход владельцам </w:t>
            </w:r>
            <w:r w:rsidR="00455D47">
              <w:rPr>
                <w:b/>
                <w:bCs/>
                <w:i/>
                <w:iCs/>
                <w:sz w:val="22"/>
                <w:szCs w:val="22"/>
              </w:rPr>
              <w:t>Биржевых о</w:t>
            </w:r>
            <w:r w:rsidRPr="00AD53C3">
              <w:rPr>
                <w:b/>
                <w:bCs/>
                <w:i/>
                <w:iCs/>
                <w:sz w:val="22"/>
                <w:szCs w:val="22"/>
              </w:rPr>
              <w:t>блигаций, рассчитанный на дату приобретения.</w:t>
            </w:r>
          </w:p>
          <w:p w14:paraId="67D17EE5" w14:textId="77777777" w:rsidR="00D54FD5" w:rsidRDefault="008B1E4B" w:rsidP="008B1E4B">
            <w:pPr>
              <w:adjustRightInd w:val="0"/>
              <w:ind w:left="142" w:right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50A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950A3E">
              <w:t xml:space="preserve"> </w:t>
            </w:r>
            <w:r w:rsidR="00950A3E">
              <w:rPr>
                <w:sz w:val="22"/>
                <w:szCs w:val="22"/>
              </w:rPr>
              <w:t>В</w:t>
            </w:r>
            <w:r w:rsidR="00950A3E" w:rsidRPr="00950A3E">
              <w:rPr>
                <w:sz w:val="22"/>
                <w:szCs w:val="22"/>
              </w:rPr>
              <w:t xml:space="preserve"> случае если событие (действие) имеет отношение к третьему лицу - полное фирменное наименование (для коммерческой организации) или наименование (для некоммерческих организаций), место нахождения, идентификационный номер налогоплательщика (ИНН) (при наличии), основной государственный регистрационный номер (ОГРН) (при наличии) или фамилия, имя, отчеств</w:t>
            </w:r>
            <w:r w:rsidR="00950A3E">
              <w:rPr>
                <w:sz w:val="22"/>
                <w:szCs w:val="22"/>
              </w:rPr>
              <w:t>о (при наличии) указанного лица</w:t>
            </w:r>
            <w:r>
              <w:rPr>
                <w:sz w:val="22"/>
                <w:szCs w:val="22"/>
              </w:rPr>
              <w:t xml:space="preserve">: </w:t>
            </w:r>
          </w:p>
          <w:p w14:paraId="78CB3D68" w14:textId="13475CDC" w:rsidR="008B1E4B" w:rsidRPr="008B1E4B" w:rsidRDefault="00D54FD5" w:rsidP="008B1E4B">
            <w:pPr>
              <w:adjustRightInd w:val="0"/>
              <w:ind w:left="142" w:right="13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="008B1E4B" w:rsidRPr="008B1E4B">
              <w:rPr>
                <w:b/>
                <w:bCs/>
                <w:i/>
                <w:iCs/>
                <w:sz w:val="22"/>
                <w:szCs w:val="22"/>
              </w:rPr>
              <w:t xml:space="preserve">ривести информацию не представляется возможным, информация затрагивает </w:t>
            </w:r>
            <w:r w:rsidR="005F495D">
              <w:rPr>
                <w:b/>
                <w:bCs/>
                <w:i/>
                <w:iCs/>
                <w:sz w:val="22"/>
                <w:szCs w:val="22"/>
              </w:rPr>
              <w:t>владельцев Биржевых об</w:t>
            </w:r>
            <w:r w:rsidR="008B1E4B" w:rsidRPr="008B1E4B">
              <w:rPr>
                <w:b/>
                <w:bCs/>
                <w:i/>
                <w:iCs/>
                <w:sz w:val="22"/>
                <w:szCs w:val="22"/>
              </w:rPr>
              <w:t>лигаций</w:t>
            </w:r>
            <w:r w:rsidR="00540176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383DD615" w14:textId="7EF41A45" w:rsidR="007F6E01" w:rsidRDefault="008B1E4B" w:rsidP="00E60925">
            <w:pPr>
              <w:autoSpaceDE/>
              <w:autoSpaceDN/>
              <w:ind w:left="132" w:right="14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  <w:r w:rsidR="00950A3E">
              <w:rPr>
                <w:sz w:val="22"/>
                <w:szCs w:val="22"/>
              </w:rPr>
              <w:t>В</w:t>
            </w:r>
            <w:r w:rsidR="00950A3E" w:rsidRPr="00950A3E">
              <w:rPr>
                <w:sz w:val="22"/>
                <w:szCs w:val="22"/>
              </w:rPr>
              <w:t xml:space="preserve"> </w:t>
            </w:r>
            <w:r w:rsidR="00187A58" w:rsidRPr="00E60925">
              <w:rPr>
                <w:sz w:val="22"/>
                <w:szCs w:val="22"/>
              </w:rPr>
              <w:t xml:space="preserve">случае если событие (действие) имеет отношение к решению, принятому уполномоченным органом управления (уполномоченным должностным лицом) эмитента или третьего лица, - наименование уполномоченного органа управления (уполномоченного должностного лица), дата принятия и содержание принятого решения, а если решение принято коллегиальным органом управления эмитента или третьего лица - также дата составления и номер протокола собрания (заседания) уполномоченного коллегиального органа управления эмитента или третьего лица: </w:t>
            </w:r>
            <w:r w:rsidR="00D54FD5" w:rsidRPr="00E60925">
              <w:rPr>
                <w:b/>
                <w:i/>
                <w:sz w:val="22"/>
                <w:szCs w:val="22"/>
              </w:rPr>
              <w:t>п</w:t>
            </w:r>
            <w:r w:rsidR="00AA630B" w:rsidRPr="00E60925">
              <w:rPr>
                <w:b/>
                <w:i/>
                <w:sz w:val="22"/>
                <w:szCs w:val="22"/>
              </w:rPr>
              <w:t xml:space="preserve">риобретение Биржевых облигаций осуществлено в соответствии с п.10.1. </w:t>
            </w:r>
            <w:r w:rsidR="00E60925" w:rsidRPr="00E60925">
              <w:rPr>
                <w:b/>
                <w:i/>
                <w:sz w:val="22"/>
                <w:szCs w:val="22"/>
              </w:rPr>
              <w:t>Программы Б</w:t>
            </w:r>
            <w:r w:rsidR="00AA630B" w:rsidRPr="00E60925">
              <w:rPr>
                <w:b/>
                <w:i/>
                <w:sz w:val="22"/>
                <w:szCs w:val="22"/>
              </w:rPr>
              <w:t>иржевых облигаций</w:t>
            </w:r>
            <w:r w:rsidR="00E60925" w:rsidRPr="00E60925">
              <w:rPr>
                <w:b/>
                <w:i/>
                <w:sz w:val="22"/>
                <w:szCs w:val="22"/>
              </w:rPr>
              <w:t>,</w:t>
            </w:r>
            <w:r w:rsidR="00AA630B" w:rsidRPr="00E60925">
              <w:rPr>
                <w:b/>
                <w:i/>
                <w:sz w:val="22"/>
                <w:szCs w:val="22"/>
              </w:rPr>
              <w:t xml:space="preserve"> утвержденной Советом директоров Публичного акционерного общества «Вторая генерирующая компания оптового рынка электроэнергии» «30» сентября 2016 г. (Протокол от </w:t>
            </w:r>
            <w:r w:rsidR="00E60925" w:rsidRPr="00E60925">
              <w:rPr>
                <w:b/>
                <w:i/>
                <w:sz w:val="22"/>
                <w:szCs w:val="22"/>
              </w:rPr>
              <w:t xml:space="preserve">                </w:t>
            </w:r>
            <w:r w:rsidR="00AA630B" w:rsidRPr="00E60925">
              <w:rPr>
                <w:b/>
                <w:i/>
                <w:sz w:val="22"/>
                <w:szCs w:val="22"/>
              </w:rPr>
              <w:t>«30</w:t>
            </w:r>
            <w:r w:rsidR="00E60925" w:rsidRPr="00E60925">
              <w:rPr>
                <w:b/>
                <w:i/>
                <w:sz w:val="22"/>
                <w:szCs w:val="22"/>
              </w:rPr>
              <w:t>»</w:t>
            </w:r>
            <w:r w:rsidR="00AA630B" w:rsidRPr="00E60925">
              <w:rPr>
                <w:b/>
                <w:i/>
                <w:sz w:val="22"/>
                <w:szCs w:val="22"/>
              </w:rPr>
              <w:t xml:space="preserve"> сентября 2016 г. №154).</w:t>
            </w:r>
          </w:p>
          <w:p w14:paraId="374AA6EA" w14:textId="77777777" w:rsidR="006E5AD1" w:rsidRPr="004E7B8B" w:rsidRDefault="008B1E4B" w:rsidP="005D49A5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  <w:r w:rsidR="00950A3E">
              <w:t xml:space="preserve"> </w:t>
            </w:r>
            <w:r w:rsidR="00950A3E">
              <w:rPr>
                <w:sz w:val="22"/>
                <w:szCs w:val="22"/>
              </w:rPr>
              <w:t xml:space="preserve">В </w:t>
            </w:r>
            <w:r w:rsidR="00950A3E" w:rsidRPr="00950A3E">
              <w:rPr>
                <w:sz w:val="22"/>
                <w:szCs w:val="22"/>
              </w:rPr>
              <w:t>случае если событие (действие) может оказать существенное влияние на стоимость или котировки ценных бумаг эмитента, - идентификационные признаки ценных бумаг</w:t>
            </w:r>
            <w:r w:rsidRPr="004E7B8B">
              <w:rPr>
                <w:sz w:val="22"/>
                <w:szCs w:val="22"/>
              </w:rPr>
              <w:t xml:space="preserve">: </w:t>
            </w:r>
          </w:p>
          <w:p w14:paraId="6A56C911" w14:textId="5FE1C462" w:rsidR="003F1CF4" w:rsidRDefault="003F1CF4" w:rsidP="00950A3E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 w:rsidRPr="00B95256">
              <w:rPr>
                <w:b/>
                <w:i/>
                <w:sz w:val="22"/>
                <w:szCs w:val="22"/>
              </w:rPr>
              <w:lastRenderedPageBreak/>
              <w:t>биржевые облигации процентные неконвертируемые бездокументарные с централизованным учетом прав серии 002P-01, номинальной стоимостью 1 000 (Одна тысяча) российских рублей каждая, со сроком погашения в 2 184-й (Две тысячи сто восемьдесят четвертый) день с даты начала размещения биржевых облигаций, размещенные по открытой подписке в рамках Программы биржевых облигаций серии 002Р, имеющей  идентификационный номер 4-65105-D-002P-02E от 18.10.2016, утвержденной решением Совета директоров ПАО «ОГК-2» 30.09.2016, Протокол от 30.09.2016 № 154,  регистрационный номер выпуска 4B02-01-65105-D-002P, дата регистрации 09.07.2020, международный код (номер) идентификации ценных бумаг (ISIN): RU000A101WR0), международный код классификации финансовых инструментов (CFI): DBVUFB</w:t>
            </w:r>
            <w:r w:rsidR="00854649">
              <w:rPr>
                <w:b/>
                <w:i/>
                <w:sz w:val="22"/>
                <w:szCs w:val="22"/>
              </w:rPr>
              <w:t xml:space="preserve"> (ранее</w:t>
            </w:r>
            <w:r w:rsidR="00854649" w:rsidRPr="00CB00B3">
              <w:rPr>
                <w:b/>
                <w:i/>
                <w:sz w:val="22"/>
                <w:szCs w:val="22"/>
              </w:rPr>
              <w:t xml:space="preserve"> – Биржевые облигации).</w:t>
            </w:r>
          </w:p>
          <w:p w14:paraId="37D661E9" w14:textId="1E6C871E" w:rsidR="00382C41" w:rsidRPr="00FB1A75" w:rsidRDefault="003F1CF4" w:rsidP="00950A3E">
            <w:pPr>
              <w:adjustRightInd w:val="0"/>
              <w:ind w:left="142" w:right="132"/>
              <w:jc w:val="both"/>
              <w:rPr>
                <w:b/>
                <w:i/>
                <w:sz w:val="22"/>
                <w:szCs w:val="22"/>
              </w:rPr>
            </w:pPr>
            <w:r w:rsidRPr="00B95256">
              <w:rPr>
                <w:b/>
                <w:i/>
                <w:sz w:val="22"/>
                <w:szCs w:val="22"/>
              </w:rPr>
              <w:t xml:space="preserve"> </w:t>
            </w:r>
            <w:r w:rsidR="008B1E4B">
              <w:rPr>
                <w:sz w:val="22"/>
                <w:szCs w:val="22"/>
              </w:rPr>
              <w:t xml:space="preserve">2.5. </w:t>
            </w:r>
            <w:r w:rsidR="00950A3E">
              <w:rPr>
                <w:sz w:val="22"/>
                <w:szCs w:val="22"/>
              </w:rPr>
              <w:t>Д</w:t>
            </w:r>
            <w:r w:rsidR="00950A3E" w:rsidRPr="00950A3E">
              <w:rPr>
                <w:sz w:val="22"/>
                <w:szCs w:val="22"/>
              </w:rPr>
              <w:t>ата наступления события (совершения действия), а если событие наступает в отношении третьего лица (действие совершается третьим лицом) - также дата, в которую эмитент узнал или должен был узнать о наступлении события (совершении действия)</w:t>
            </w:r>
            <w:r w:rsidR="00950A3E">
              <w:rPr>
                <w:sz w:val="22"/>
                <w:szCs w:val="22"/>
              </w:rPr>
              <w:t xml:space="preserve">: </w:t>
            </w:r>
            <w:r w:rsidR="000C0679">
              <w:rPr>
                <w:b/>
                <w:i/>
                <w:sz w:val="22"/>
                <w:szCs w:val="22"/>
              </w:rPr>
              <w:t>17</w:t>
            </w:r>
            <w:r w:rsidR="00112F5D" w:rsidRPr="00C04984">
              <w:rPr>
                <w:b/>
                <w:i/>
                <w:sz w:val="22"/>
                <w:szCs w:val="22"/>
              </w:rPr>
              <w:t>.</w:t>
            </w:r>
            <w:r w:rsidR="000C0679">
              <w:rPr>
                <w:b/>
                <w:i/>
                <w:sz w:val="22"/>
                <w:szCs w:val="22"/>
              </w:rPr>
              <w:t>07</w:t>
            </w:r>
            <w:r w:rsidR="00950A3E">
              <w:rPr>
                <w:b/>
                <w:i/>
                <w:sz w:val="22"/>
                <w:szCs w:val="22"/>
              </w:rPr>
              <w:t>.2023</w:t>
            </w:r>
            <w:r w:rsidR="00112F5D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14:paraId="1007B222" w14:textId="77777777" w:rsidR="007F673C" w:rsidRPr="00EA4D78" w:rsidRDefault="007F673C" w:rsidP="007F673C">
      <w:pPr>
        <w:rPr>
          <w:sz w:val="22"/>
          <w:szCs w:val="22"/>
        </w:rPr>
      </w:pPr>
    </w:p>
    <w:tbl>
      <w:tblPr>
        <w:tblW w:w="1005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75"/>
        <w:gridCol w:w="198"/>
        <w:gridCol w:w="1410"/>
        <w:gridCol w:w="644"/>
        <w:gridCol w:w="938"/>
        <w:gridCol w:w="2109"/>
        <w:gridCol w:w="27"/>
        <w:gridCol w:w="3320"/>
      </w:tblGrid>
      <w:tr w:rsidR="0080633A" w:rsidRPr="00EA4D78" w14:paraId="2967BE9A" w14:textId="77777777" w:rsidTr="00483EFE">
        <w:trPr>
          <w:cantSplit/>
          <w:trHeight w:val="284"/>
        </w:trPr>
        <w:tc>
          <w:tcPr>
            <w:tcW w:w="10055" w:type="dxa"/>
            <w:gridSpan w:val="9"/>
            <w:vAlign w:val="center"/>
          </w:tcPr>
          <w:p w14:paraId="1249845E" w14:textId="77777777" w:rsidR="007F673C" w:rsidRPr="00EA4D78" w:rsidRDefault="007F673C" w:rsidP="0048634E">
            <w:pPr>
              <w:jc w:val="center"/>
              <w:rPr>
                <w:sz w:val="22"/>
                <w:szCs w:val="22"/>
              </w:rPr>
            </w:pPr>
            <w:r w:rsidRPr="00EA4D78">
              <w:rPr>
                <w:sz w:val="22"/>
                <w:szCs w:val="22"/>
              </w:rPr>
              <w:t>3. Подпись</w:t>
            </w:r>
          </w:p>
        </w:tc>
      </w:tr>
      <w:tr w:rsidR="00F53892" w:rsidRPr="00EA4D78" w14:paraId="02C2E389" w14:textId="77777777" w:rsidTr="00483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B0036A" w14:textId="77777777" w:rsidR="00F53892" w:rsidRDefault="00F53892" w:rsidP="00F53892">
            <w:pPr>
              <w:ind w:left="132"/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 xml:space="preserve"> </w:t>
            </w:r>
            <w:r w:rsidRPr="007828CF">
              <w:rPr>
                <w:sz w:val="22"/>
                <w:szCs w:val="22"/>
              </w:rPr>
              <w:t xml:space="preserve">Заместитель управляющего директора </w:t>
            </w:r>
          </w:p>
          <w:p w14:paraId="197FBD78" w14:textId="77777777" w:rsidR="00F53892" w:rsidRDefault="00F53892" w:rsidP="00F53892">
            <w:pPr>
              <w:ind w:left="132"/>
              <w:rPr>
                <w:sz w:val="22"/>
                <w:szCs w:val="22"/>
              </w:rPr>
            </w:pPr>
            <w:r w:rsidRPr="007828CF">
              <w:rPr>
                <w:sz w:val="22"/>
                <w:szCs w:val="22"/>
              </w:rPr>
              <w:t xml:space="preserve">по корпоративным и правовым вопросам, </w:t>
            </w:r>
          </w:p>
          <w:p w14:paraId="549474C4" w14:textId="77777777" w:rsidR="00F53892" w:rsidRPr="007828CF" w:rsidRDefault="00F53892" w:rsidP="00F53892">
            <w:pPr>
              <w:ind w:left="132"/>
              <w:rPr>
                <w:sz w:val="22"/>
                <w:szCs w:val="22"/>
              </w:rPr>
            </w:pPr>
            <w:r w:rsidRPr="007828CF">
              <w:rPr>
                <w:sz w:val="22"/>
                <w:szCs w:val="22"/>
              </w:rPr>
              <w:t>действующий на основании доверенности</w:t>
            </w:r>
          </w:p>
          <w:p w14:paraId="5E506AAD" w14:textId="77777777" w:rsidR="00F53892" w:rsidRPr="007828CF" w:rsidRDefault="00F53892" w:rsidP="00F53892">
            <w:pPr>
              <w:ind w:left="132"/>
              <w:rPr>
                <w:sz w:val="22"/>
                <w:szCs w:val="22"/>
              </w:rPr>
            </w:pPr>
            <w:r w:rsidRPr="007828CF">
              <w:rPr>
                <w:sz w:val="22"/>
                <w:szCs w:val="22"/>
              </w:rPr>
              <w:t>№ 77/299-н/77-2022-1-1027 от 25.03.2022</w:t>
            </w:r>
          </w:p>
          <w:p w14:paraId="0C07D31E" w14:textId="5E4275DA" w:rsidR="00F53892" w:rsidRPr="00EA4D78" w:rsidRDefault="00F53892" w:rsidP="00F538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719025D" w14:textId="77777777" w:rsidR="00F53892" w:rsidRPr="00EA4D78" w:rsidRDefault="00F53892" w:rsidP="00F53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" w:type="dxa"/>
            <w:vAlign w:val="bottom"/>
          </w:tcPr>
          <w:p w14:paraId="057C6E20" w14:textId="77777777" w:rsidR="00F53892" w:rsidRPr="00EA4D78" w:rsidRDefault="00F53892" w:rsidP="00F53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EDCDBCF" w14:textId="77777777" w:rsidR="00F53892" w:rsidRDefault="00F53892" w:rsidP="00F53892">
            <w:pPr>
              <w:jc w:val="center"/>
              <w:rPr>
                <w:sz w:val="22"/>
                <w:szCs w:val="22"/>
              </w:rPr>
            </w:pPr>
          </w:p>
          <w:p w14:paraId="09E97B9B" w14:textId="77777777" w:rsidR="00F53892" w:rsidRDefault="00F53892" w:rsidP="00F53892">
            <w:pPr>
              <w:jc w:val="center"/>
              <w:rPr>
                <w:sz w:val="22"/>
                <w:szCs w:val="22"/>
              </w:rPr>
            </w:pPr>
          </w:p>
          <w:p w14:paraId="45344EE1" w14:textId="3FE3019D" w:rsidR="00F53892" w:rsidRPr="00EA4D78" w:rsidRDefault="00F53892" w:rsidP="00F53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М.А. Чалый</w:t>
            </w:r>
            <w:bookmarkStart w:id="0" w:name="_GoBack"/>
            <w:bookmarkEnd w:id="0"/>
          </w:p>
        </w:tc>
      </w:tr>
      <w:tr w:rsidR="00F53892" w:rsidRPr="00EA4D78" w14:paraId="738A0751" w14:textId="77777777" w:rsidTr="00483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99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9FB16D" w14:textId="77777777" w:rsidR="00F53892" w:rsidRPr="00EA4D78" w:rsidRDefault="00F53892" w:rsidP="00F53892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203FE910" w14:textId="77777777" w:rsidR="00F53892" w:rsidRDefault="00F53892" w:rsidP="00F53892">
            <w:pPr>
              <w:rPr>
                <w:sz w:val="22"/>
                <w:szCs w:val="22"/>
                <w:lang w:eastAsia="en-US"/>
              </w:rPr>
            </w:pPr>
          </w:p>
          <w:p w14:paraId="4E664DFC" w14:textId="5A98CED6" w:rsidR="00F53892" w:rsidRPr="00EA4D78" w:rsidRDefault="00F53892" w:rsidP="00F53892">
            <w:pPr>
              <w:jc w:val="center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" w:type="dxa"/>
          </w:tcPr>
          <w:p w14:paraId="45CA8D89" w14:textId="77777777" w:rsidR="00F53892" w:rsidRPr="00EA4D78" w:rsidRDefault="00F53892" w:rsidP="00F53892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14:paraId="06A498E4" w14:textId="77777777" w:rsidR="00F53892" w:rsidRPr="00EA4D78" w:rsidRDefault="00F53892" w:rsidP="00F53892">
            <w:pPr>
              <w:rPr>
                <w:sz w:val="22"/>
                <w:szCs w:val="22"/>
              </w:rPr>
            </w:pPr>
          </w:p>
        </w:tc>
      </w:tr>
      <w:tr w:rsidR="0080633A" w:rsidRPr="00EA4D78" w14:paraId="02E6EC23" w14:textId="77777777" w:rsidTr="00483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5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14799E0" w14:textId="77777777" w:rsidR="007F673C" w:rsidRPr="00EA4D78" w:rsidRDefault="007F673C" w:rsidP="001E6D18">
            <w:pPr>
              <w:rPr>
                <w:sz w:val="22"/>
                <w:szCs w:val="22"/>
              </w:rPr>
            </w:pPr>
          </w:p>
        </w:tc>
      </w:tr>
      <w:tr w:rsidR="0080633A" w:rsidRPr="00EA4D78" w14:paraId="3DA1D0D8" w14:textId="77777777" w:rsidTr="00483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FDB24F" w14:textId="77777777" w:rsidR="007F673C" w:rsidRPr="00D13CB8" w:rsidRDefault="007F673C" w:rsidP="001E6D18">
            <w:pPr>
              <w:tabs>
                <w:tab w:val="right" w:pos="1091"/>
              </w:tabs>
              <w:rPr>
                <w:sz w:val="22"/>
                <w:szCs w:val="22"/>
              </w:rPr>
            </w:pPr>
            <w:r w:rsidRPr="00D13CB8">
              <w:rPr>
                <w:sz w:val="22"/>
                <w:szCs w:val="22"/>
              </w:rPr>
              <w:t>3.2. Дата</w:t>
            </w:r>
            <w:r w:rsidRPr="00D13CB8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E785C" w14:textId="1C60204A" w:rsidR="007F673C" w:rsidRPr="00D13CB8" w:rsidRDefault="00340669" w:rsidP="008F5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C5556" w14:textId="77777777" w:rsidR="007F673C" w:rsidRPr="00D13CB8" w:rsidRDefault="007F673C" w:rsidP="00F53892">
            <w:pPr>
              <w:rPr>
                <w:sz w:val="22"/>
                <w:szCs w:val="22"/>
              </w:rPr>
            </w:pPr>
            <w:r w:rsidRPr="00D13CB8">
              <w:rPr>
                <w:sz w:val="22"/>
                <w:szCs w:val="22"/>
              </w:rP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29E15" w14:textId="19A7998D" w:rsidR="007F673C" w:rsidRPr="00D13CB8" w:rsidRDefault="003B065C" w:rsidP="008F5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3892">
              <w:rPr>
                <w:sz w:val="22"/>
                <w:szCs w:val="22"/>
              </w:rPr>
              <w:t>и</w:t>
            </w:r>
            <w:r w:rsidR="00340669">
              <w:rPr>
                <w:sz w:val="22"/>
                <w:szCs w:val="22"/>
              </w:rPr>
              <w:t>юл</w:t>
            </w:r>
            <w:r w:rsidR="00547CB6">
              <w:rPr>
                <w:sz w:val="22"/>
                <w:szCs w:val="22"/>
              </w:rPr>
              <w:t>я</w:t>
            </w:r>
            <w:r w:rsidR="00F53892">
              <w:rPr>
                <w:sz w:val="22"/>
                <w:szCs w:val="22"/>
              </w:rPr>
              <w:t xml:space="preserve"> </w:t>
            </w:r>
            <w:r w:rsidR="00F53892" w:rsidRPr="00EA4D78">
              <w:rPr>
                <w:sz w:val="22"/>
                <w:szCs w:val="22"/>
              </w:rPr>
              <w:t>20</w:t>
            </w:r>
            <w:r w:rsidR="00F53892">
              <w:rPr>
                <w:sz w:val="22"/>
                <w:szCs w:val="22"/>
              </w:rPr>
              <w:t xml:space="preserve">23 </w:t>
            </w:r>
            <w:r w:rsidR="00F53892" w:rsidRPr="00EA4D78">
              <w:rPr>
                <w:sz w:val="22"/>
                <w:szCs w:val="22"/>
              </w:rPr>
              <w:t>г.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75D4D" w14:textId="0DA1AA32" w:rsidR="007F673C" w:rsidRPr="00EA4D78" w:rsidRDefault="007F673C" w:rsidP="001E6D18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32C5D" w14:textId="34EE35F2" w:rsidR="007F673C" w:rsidRPr="00EA4D78" w:rsidRDefault="007F673C" w:rsidP="005751FF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9BA03" w14:textId="201AD7D3" w:rsidR="007F673C" w:rsidRPr="00EA4D78" w:rsidRDefault="007F673C" w:rsidP="00F53892">
            <w:pPr>
              <w:pStyle w:val="a3"/>
              <w:tabs>
                <w:tab w:val="clear" w:pos="4677"/>
                <w:tab w:val="clear" w:pos="9355"/>
                <w:tab w:val="left" w:pos="1046"/>
              </w:tabs>
              <w:rPr>
                <w:sz w:val="22"/>
                <w:szCs w:val="22"/>
              </w:rPr>
            </w:pPr>
            <w:r w:rsidRPr="00EA4D78">
              <w:rPr>
                <w:sz w:val="22"/>
                <w:szCs w:val="22"/>
              </w:rPr>
              <w:tab/>
            </w:r>
          </w:p>
        </w:tc>
      </w:tr>
    </w:tbl>
    <w:p w14:paraId="03D5BA73" w14:textId="77777777" w:rsidR="007F673C" w:rsidRPr="00EA4D78" w:rsidRDefault="007F673C" w:rsidP="007F673C">
      <w:pPr>
        <w:rPr>
          <w:sz w:val="22"/>
          <w:szCs w:val="22"/>
        </w:rPr>
      </w:pPr>
    </w:p>
    <w:p w14:paraId="395E884C" w14:textId="77777777" w:rsidR="007F673C" w:rsidRPr="00EA4D78" w:rsidRDefault="007F673C" w:rsidP="007F673C">
      <w:pPr>
        <w:rPr>
          <w:sz w:val="22"/>
          <w:szCs w:val="22"/>
        </w:rPr>
      </w:pPr>
    </w:p>
    <w:p w14:paraId="7A9FA020" w14:textId="77777777" w:rsidR="00566C08" w:rsidRPr="00EA4D78" w:rsidRDefault="00F928C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566C08" w:rsidRPr="00EA4D78" w:rsidSect="0056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3C"/>
    <w:rsid w:val="00001AD0"/>
    <w:rsid w:val="00005082"/>
    <w:rsid w:val="00030F0F"/>
    <w:rsid w:val="000355AF"/>
    <w:rsid w:val="000408E4"/>
    <w:rsid w:val="00041B37"/>
    <w:rsid w:val="000465C7"/>
    <w:rsid w:val="00052099"/>
    <w:rsid w:val="00077906"/>
    <w:rsid w:val="000A270F"/>
    <w:rsid w:val="000A4570"/>
    <w:rsid w:val="000A6CF9"/>
    <w:rsid w:val="000C0679"/>
    <w:rsid w:val="000C1F49"/>
    <w:rsid w:val="000D53D7"/>
    <w:rsid w:val="000F0D43"/>
    <w:rsid w:val="000F2853"/>
    <w:rsid w:val="00112F5D"/>
    <w:rsid w:val="001228A4"/>
    <w:rsid w:val="00130299"/>
    <w:rsid w:val="00134E6C"/>
    <w:rsid w:val="001409C0"/>
    <w:rsid w:val="00141B2A"/>
    <w:rsid w:val="00153C68"/>
    <w:rsid w:val="0016222D"/>
    <w:rsid w:val="00176389"/>
    <w:rsid w:val="00187A58"/>
    <w:rsid w:val="00194CCF"/>
    <w:rsid w:val="001A6DCB"/>
    <w:rsid w:val="001C5CD5"/>
    <w:rsid w:val="001D0031"/>
    <w:rsid w:val="001D1B16"/>
    <w:rsid w:val="001D3936"/>
    <w:rsid w:val="001F2D69"/>
    <w:rsid w:val="002040BA"/>
    <w:rsid w:val="002150D4"/>
    <w:rsid w:val="00224D33"/>
    <w:rsid w:val="00231A95"/>
    <w:rsid w:val="00250339"/>
    <w:rsid w:val="002912C1"/>
    <w:rsid w:val="0029727E"/>
    <w:rsid w:val="002A01E3"/>
    <w:rsid w:val="002A0B82"/>
    <w:rsid w:val="002A4F90"/>
    <w:rsid w:val="002B7102"/>
    <w:rsid w:val="002C0B9E"/>
    <w:rsid w:val="002C436A"/>
    <w:rsid w:val="002C436F"/>
    <w:rsid w:val="002C5F1D"/>
    <w:rsid w:val="002E3355"/>
    <w:rsid w:val="002F119C"/>
    <w:rsid w:val="002F1403"/>
    <w:rsid w:val="00340669"/>
    <w:rsid w:val="003439F4"/>
    <w:rsid w:val="00344024"/>
    <w:rsid w:val="0036369C"/>
    <w:rsid w:val="0036753F"/>
    <w:rsid w:val="00373502"/>
    <w:rsid w:val="00382C41"/>
    <w:rsid w:val="003848E0"/>
    <w:rsid w:val="003B065C"/>
    <w:rsid w:val="003B708A"/>
    <w:rsid w:val="003C1E45"/>
    <w:rsid w:val="003F1CF4"/>
    <w:rsid w:val="003F62FE"/>
    <w:rsid w:val="00403A97"/>
    <w:rsid w:val="00440F3C"/>
    <w:rsid w:val="00444E17"/>
    <w:rsid w:val="004471BC"/>
    <w:rsid w:val="0045595B"/>
    <w:rsid w:val="00455D47"/>
    <w:rsid w:val="00462B71"/>
    <w:rsid w:val="00481D66"/>
    <w:rsid w:val="004836F5"/>
    <w:rsid w:val="00483EFE"/>
    <w:rsid w:val="0048634E"/>
    <w:rsid w:val="00492B86"/>
    <w:rsid w:val="004A79FB"/>
    <w:rsid w:val="004C33D9"/>
    <w:rsid w:val="004D1A27"/>
    <w:rsid w:val="004D6A42"/>
    <w:rsid w:val="004E2884"/>
    <w:rsid w:val="004E7B8B"/>
    <w:rsid w:val="004F267E"/>
    <w:rsid w:val="004F6E54"/>
    <w:rsid w:val="0051635C"/>
    <w:rsid w:val="005317CF"/>
    <w:rsid w:val="00540176"/>
    <w:rsid w:val="00547CB6"/>
    <w:rsid w:val="00564DD8"/>
    <w:rsid w:val="00566C08"/>
    <w:rsid w:val="005751FF"/>
    <w:rsid w:val="00591BBE"/>
    <w:rsid w:val="005B1F40"/>
    <w:rsid w:val="005D49A5"/>
    <w:rsid w:val="005E1C40"/>
    <w:rsid w:val="005F1391"/>
    <w:rsid w:val="005F495D"/>
    <w:rsid w:val="005F6E06"/>
    <w:rsid w:val="006035FE"/>
    <w:rsid w:val="00611A15"/>
    <w:rsid w:val="0062222F"/>
    <w:rsid w:val="00631167"/>
    <w:rsid w:val="00664026"/>
    <w:rsid w:val="00666B00"/>
    <w:rsid w:val="006A023E"/>
    <w:rsid w:val="006B6AB8"/>
    <w:rsid w:val="006D08B7"/>
    <w:rsid w:val="006E5AD1"/>
    <w:rsid w:val="00711D8B"/>
    <w:rsid w:val="007135EC"/>
    <w:rsid w:val="007139DC"/>
    <w:rsid w:val="007510C1"/>
    <w:rsid w:val="00753E9F"/>
    <w:rsid w:val="007846D2"/>
    <w:rsid w:val="00796E07"/>
    <w:rsid w:val="007B6366"/>
    <w:rsid w:val="007D2647"/>
    <w:rsid w:val="007F3F97"/>
    <w:rsid w:val="007F673C"/>
    <w:rsid w:val="007F6E01"/>
    <w:rsid w:val="008026BF"/>
    <w:rsid w:val="0080633A"/>
    <w:rsid w:val="0080663C"/>
    <w:rsid w:val="00854649"/>
    <w:rsid w:val="008705EF"/>
    <w:rsid w:val="008B16DD"/>
    <w:rsid w:val="008B1E4B"/>
    <w:rsid w:val="008C3B68"/>
    <w:rsid w:val="008C72F8"/>
    <w:rsid w:val="008F5018"/>
    <w:rsid w:val="008F53A2"/>
    <w:rsid w:val="0091009D"/>
    <w:rsid w:val="009217FD"/>
    <w:rsid w:val="009243F9"/>
    <w:rsid w:val="009431AC"/>
    <w:rsid w:val="0094673A"/>
    <w:rsid w:val="00950A3E"/>
    <w:rsid w:val="009B3FDF"/>
    <w:rsid w:val="009B7472"/>
    <w:rsid w:val="009C2272"/>
    <w:rsid w:val="009C2B1E"/>
    <w:rsid w:val="00A14013"/>
    <w:rsid w:val="00A23E55"/>
    <w:rsid w:val="00A31793"/>
    <w:rsid w:val="00A55D0A"/>
    <w:rsid w:val="00A60393"/>
    <w:rsid w:val="00A6486E"/>
    <w:rsid w:val="00A81883"/>
    <w:rsid w:val="00A932E0"/>
    <w:rsid w:val="00AA630B"/>
    <w:rsid w:val="00AC1C82"/>
    <w:rsid w:val="00AC3709"/>
    <w:rsid w:val="00AD03D9"/>
    <w:rsid w:val="00AD2926"/>
    <w:rsid w:val="00AF207E"/>
    <w:rsid w:val="00B3239F"/>
    <w:rsid w:val="00BA5441"/>
    <w:rsid w:val="00BA7539"/>
    <w:rsid w:val="00BB62B7"/>
    <w:rsid w:val="00BC1A8A"/>
    <w:rsid w:val="00BE32CB"/>
    <w:rsid w:val="00BE7DF0"/>
    <w:rsid w:val="00BF0A5E"/>
    <w:rsid w:val="00C04984"/>
    <w:rsid w:val="00C4776E"/>
    <w:rsid w:val="00C727C2"/>
    <w:rsid w:val="00C84AAB"/>
    <w:rsid w:val="00C87A83"/>
    <w:rsid w:val="00CA3A68"/>
    <w:rsid w:val="00CB66BB"/>
    <w:rsid w:val="00CC6F90"/>
    <w:rsid w:val="00CF0379"/>
    <w:rsid w:val="00CF57A4"/>
    <w:rsid w:val="00CF5CD6"/>
    <w:rsid w:val="00D0410F"/>
    <w:rsid w:val="00D10F4C"/>
    <w:rsid w:val="00D10FB7"/>
    <w:rsid w:val="00D13CB8"/>
    <w:rsid w:val="00D343C5"/>
    <w:rsid w:val="00D3698D"/>
    <w:rsid w:val="00D54FD5"/>
    <w:rsid w:val="00D5644E"/>
    <w:rsid w:val="00D5761E"/>
    <w:rsid w:val="00D96359"/>
    <w:rsid w:val="00DB2505"/>
    <w:rsid w:val="00DB2CB6"/>
    <w:rsid w:val="00DE1871"/>
    <w:rsid w:val="00DE357C"/>
    <w:rsid w:val="00DF0F42"/>
    <w:rsid w:val="00E02223"/>
    <w:rsid w:val="00E053D9"/>
    <w:rsid w:val="00E11961"/>
    <w:rsid w:val="00E522A7"/>
    <w:rsid w:val="00E60925"/>
    <w:rsid w:val="00E71060"/>
    <w:rsid w:val="00E75463"/>
    <w:rsid w:val="00EA249E"/>
    <w:rsid w:val="00EA2BC6"/>
    <w:rsid w:val="00EA4D78"/>
    <w:rsid w:val="00EC0934"/>
    <w:rsid w:val="00EC2F34"/>
    <w:rsid w:val="00EC687E"/>
    <w:rsid w:val="00F15678"/>
    <w:rsid w:val="00F22B42"/>
    <w:rsid w:val="00F31C18"/>
    <w:rsid w:val="00F45825"/>
    <w:rsid w:val="00F522A6"/>
    <w:rsid w:val="00F53892"/>
    <w:rsid w:val="00F8504D"/>
    <w:rsid w:val="00F928C8"/>
    <w:rsid w:val="00FA12AA"/>
    <w:rsid w:val="00FA4831"/>
    <w:rsid w:val="00FB0E01"/>
    <w:rsid w:val="00FB1A75"/>
    <w:rsid w:val="00FD244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A775"/>
  <w15:docId w15:val="{45A7A342-69B0-483D-BD62-6C126530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7F673C"/>
    <w:rPr>
      <w:rFonts w:ascii="Times New Roman" w:hAnsi="Times New Roman"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11A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1A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1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1A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1A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1A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A1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CF0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4A1D-6C3F-4767-9738-09782016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PerEcH</dc:creator>
  <cp:lastModifiedBy>Белокур Елена Викторовна</cp:lastModifiedBy>
  <cp:revision>81</cp:revision>
  <dcterms:created xsi:type="dcterms:W3CDTF">2022-04-26T11:59:00Z</dcterms:created>
  <dcterms:modified xsi:type="dcterms:W3CDTF">2023-07-17T13:16:00Z</dcterms:modified>
</cp:coreProperties>
</file>