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3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.0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4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3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4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: 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6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b/>
                <w:color w:val="000000"/>
              </w:rPr>
              <w:t>Об утверждении условий договора с Регистратором Общества.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2. </w:t>
            </w:r>
            <w:r>
              <w:rPr>
                <w:b/>
                <w:color w:val="000000"/>
              </w:rPr>
              <w:t>О рассмотрении результатов внешней оценки эффективности Совета директоров и Комитетов Совета директоров Общества.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3. Об утверждении отчета </w:t>
            </w:r>
            <w:r>
              <w:rPr>
                <w:b/>
                <w:color w:val="000000"/>
              </w:rPr>
              <w:t>об итогах выполнения бизнес-плана ПАО «ОГК-2» и выполнении ключевых показателей деятельности за 2023 год.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4. Об </w:t>
            </w:r>
            <w:r>
              <w:rPr>
                <w:b/>
                <w:color w:val="000000"/>
              </w:rPr>
              <w:t>утверждении Плана мероприятий по повышению операционной эффективности и оптимизации расходов ПАО «ОГК-2» на 2024 год.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r>
              <w:rPr>
                <w:b/>
                <w:color w:val="000000"/>
              </w:rPr>
              <w:t>О рассмотрении отчета о деятельности Комитета Совета директоров Общества по кадрам и вознаграждениям за 2023 год.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6. </w:t>
            </w:r>
            <w:r>
              <w:rPr>
                <w:b/>
                <w:color w:val="000000"/>
              </w:rPr>
              <w:t xml:space="preserve">О рассмотрении отчета о деятельности Комитета Совета директоров Общества </w:t>
            </w:r>
            <w:r>
              <w:rPr>
                <w:b/>
                <w:color w:val="000000"/>
              </w:rPr>
              <w:t>по аудиту за 2023 год.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7. </w:t>
            </w:r>
            <w:r>
              <w:rPr>
                <w:b/>
                <w:color w:val="000000"/>
              </w:rPr>
              <w:t xml:space="preserve">О рассмотрении отчета о деятельности Комитета Совета директоров Общества </w:t>
            </w:r>
            <w:r>
              <w:rPr>
                <w:b/>
                <w:color w:val="000000"/>
              </w:rPr>
              <w:t>по стратегии, инвестициям и устойчивому развитию за 2023 год.</w:t>
            </w:r>
          </w:p>
          <w:p>
            <w:pPr>
              <w:pStyle w:val="Normal"/>
              <w:spacing w:before="20" w:after="20"/>
              <w:jc w:val="both"/>
              <w:rPr/>
            </w:pPr>
            <w:r>
              <w:rPr>
                <w:b/>
                <w:color w:val="000000"/>
              </w:rPr>
              <w:t xml:space="preserve">8. </w:t>
            </w:r>
            <w:r>
              <w:rPr>
                <w:b/>
                <w:color w:val="000000"/>
              </w:rPr>
              <w:t xml:space="preserve">О рассмотрении отчета о деятельности Комитета Совета директоров Общества </w:t>
            </w:r>
            <w:r>
              <w:rPr>
                <w:b/>
                <w:color w:val="000000"/>
              </w:rPr>
              <w:t>по надежности за 2023 год.</w:t>
            </w:r>
          </w:p>
          <w:p>
            <w:pPr>
              <w:pStyle w:val="Normal"/>
              <w:spacing w:before="20" w:after="20"/>
              <w:jc w:val="both"/>
              <w:rPr/>
            </w:pPr>
            <w:r>
              <w:rPr>
                <w:b/>
                <w:color w:val="000000"/>
              </w:rPr>
              <w:t>9. О рассмотрении Отчета о функционировании Системы управления рисками и внутреннего контроля                     ПАО «ОГК-2» за 2023 год.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10. О рассмотрении отчета об исполнении кредитной политики и отчета о размещении </w:t>
            </w:r>
            <w:r>
              <w:rPr>
                <w:b/>
                <w:color w:val="000000"/>
              </w:rPr>
              <w:t>временно свободных денежных средств ПАО «ОГК-2» за 4 квартал 2023 года.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1. Об утверждении документов, определяющих порядок и срок раскрытия инсайдерской информации об Обществе, правила внутреннего контроля по предотвращению, выявлению и пресечению неправомерного  использования инсайдерской информации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и </w:t>
            </w:r>
            <w:r>
              <w:rPr>
                <w:b/>
                <w:color w:val="000000"/>
              </w:rPr>
              <w:t>(или) манипулирования рынком, включающего определение услови</w:t>
            </w:r>
            <w:r>
              <w:rPr>
                <w:b/>
                <w:color w:val="000000"/>
              </w:rPr>
              <w:t xml:space="preserve">й </w:t>
            </w:r>
            <w:r>
              <w:rPr>
                <w:b/>
                <w:color w:val="000000"/>
              </w:rPr>
              <w:t>совершения операций с финансовыми инструментами.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2"/>
        <w:gridCol w:w="549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9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апреля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3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LibreOffice/7.6.4.1$Linux_X86_64 LibreOffice_project/60$Build-1</Application>
  <AppVersion>15.0000</AppVersion>
  <Pages>1</Pages>
  <Words>384</Words>
  <Characters>2668</Characters>
  <CharactersWithSpaces>3038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2024-04-24T10:17:02Z</cp:lastPrinted>
  <dcterms:modified xsi:type="dcterms:W3CDTF">2024-04-24T10:22:57Z</dcterms:modified>
  <cp:revision>135</cp:revision>
  <dc:subject/>
  <dc:title>Сообщение о существенном факте</dc:title>
</cp:coreProperties>
</file>